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847D8D"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847D8D">
              <w:rPr>
                <w:rFonts w:asciiTheme="minorHAnsi" w:hAnsiTheme="minorHAnsi"/>
                <w:szCs w:val="24"/>
              </w:rPr>
              <w:t>Measurement</w:t>
            </w:r>
            <w:r w:rsidR="00221F37">
              <w:rPr>
                <w:rFonts w:asciiTheme="minorHAnsi" w:hAnsiTheme="minorHAnsi"/>
                <w:szCs w:val="24"/>
              </w:rPr>
              <w:t xml:space="preserve"> and Geometry</w:t>
            </w:r>
          </w:p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891968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47D8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Area</w:t>
            </w:r>
            <w:r w:rsidR="00891968" w:rsidRPr="00891968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221F37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1968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41A1D" w:rsidRPr="00CB39EB" w:rsidRDefault="00891968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891968">
              <w:rPr>
                <w:rFonts w:asciiTheme="minorHAnsi" w:eastAsiaTheme="minorHAnsi" w:hAnsiTheme="minorHAnsi"/>
                <w:b/>
                <w:sz w:val="22"/>
                <w:szCs w:val="22"/>
              </w:rPr>
              <w:t>MA2-1WM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Pr="00891968">
              <w:rPr>
                <w:rFonts w:asciiTheme="minorHAnsi" w:hAnsiTheme="minorHAnsi"/>
                <w:b/>
                <w:sz w:val="22"/>
                <w:szCs w:val="22"/>
              </w:rPr>
              <w:t xml:space="preserve"> &amp;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91968">
              <w:rPr>
                <w:rFonts w:asciiTheme="minorHAnsi" w:hAnsiTheme="minorHAnsi"/>
                <w:b/>
                <w:sz w:val="22"/>
                <w:szCs w:val="22"/>
              </w:rPr>
              <w:t>MA2-2WM</w:t>
            </w:r>
            <w:r w:rsidRPr="0089196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CA13F7" w:rsidRPr="004A4DA4">
        <w:trPr>
          <w:trHeight w:hRule="exact" w:val="69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21F37" w:rsidRPr="00221F37">
              <w:rPr>
                <w:rFonts w:asciiTheme="minorHAnsi" w:hAnsiTheme="minorHAnsi"/>
                <w:szCs w:val="24"/>
              </w:rPr>
              <w:t xml:space="preserve"> </w:t>
            </w:r>
            <w:r w:rsidR="00221F37" w:rsidRPr="00221F37">
              <w:rPr>
                <w:rFonts w:asciiTheme="minorHAnsi" w:hAnsiTheme="minorHAnsi"/>
                <w:szCs w:val="24"/>
              </w:rPr>
              <w:t>MA2-</w:t>
            </w:r>
            <w:proofErr w:type="gramStart"/>
            <w:r w:rsidR="00221F37" w:rsidRPr="00221F37">
              <w:rPr>
                <w:rFonts w:asciiTheme="minorHAnsi" w:hAnsiTheme="minorHAnsi"/>
                <w:szCs w:val="24"/>
              </w:rPr>
              <w:t xml:space="preserve">10MG  </w:t>
            </w:r>
            <w:proofErr w:type="gramEnd"/>
          </w:p>
        </w:tc>
        <w:tc>
          <w:tcPr>
            <w:tcW w:w="4253" w:type="dxa"/>
            <w:gridSpan w:val="3"/>
            <w:shd w:val="clear" w:color="auto" w:fill="auto"/>
          </w:tcPr>
          <w:p w:rsidR="006009F5" w:rsidRPr="00221F37" w:rsidRDefault="00221F37" w:rsidP="006009F5">
            <w:pPr>
              <w:widowControl w:val="0"/>
              <w:spacing w:before="30"/>
              <w:jc w:val="both"/>
              <w:rPr>
                <w:rFonts w:asciiTheme="minorHAnsi" w:hAnsiTheme="minorHAnsi"/>
                <w:color w:val="767676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M</w:t>
            </w:r>
            <w:r w:rsidR="006009F5" w:rsidRPr="00221F37">
              <w:rPr>
                <w:rFonts w:asciiTheme="minorHAnsi" w:eastAsiaTheme="minorHAnsi" w:hAnsiTheme="minorHAnsi"/>
                <w:sz w:val="24"/>
                <w:szCs w:val="24"/>
              </w:rPr>
              <w:t>easures, records, compares and estimates areas using square centimetres and square metres</w:t>
            </w:r>
          </w:p>
          <w:p w:rsidR="006009F5" w:rsidRPr="00221F37" w:rsidRDefault="006009F5" w:rsidP="006009F5">
            <w:pPr>
              <w:widowControl w:val="0"/>
              <w:spacing w:after="225"/>
              <w:ind w:left="72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6009F5" w:rsidRPr="00221F37" w:rsidRDefault="006009F5" w:rsidP="006009F5">
            <w:pPr>
              <w:widowControl w:val="0"/>
              <w:spacing w:before="30"/>
              <w:jc w:val="both"/>
              <w:rPr>
                <w:rFonts w:asciiTheme="minorHAnsi" w:hAnsiTheme="minorHAnsi"/>
                <w:color w:val="767676"/>
                <w:sz w:val="24"/>
                <w:szCs w:val="24"/>
              </w:rPr>
            </w:pPr>
          </w:p>
          <w:p w:rsidR="006009F5" w:rsidRPr="00221F37" w:rsidRDefault="006009F5" w:rsidP="006009F5">
            <w:pPr>
              <w:widowControl w:val="0"/>
              <w:spacing w:after="225"/>
              <w:ind w:left="72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6009F5" w:rsidRPr="00221F37" w:rsidRDefault="006009F5" w:rsidP="006009F5">
            <w:pPr>
              <w:widowControl w:val="0"/>
              <w:spacing w:after="225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CA13F7" w:rsidRPr="00221F37" w:rsidRDefault="00CA13F7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>
        <w:trPr>
          <w:trHeight w:hRule="exact" w:val="113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1968" w:rsidRPr="00221F37" w:rsidRDefault="00891968" w:rsidP="0089196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360"/>
                <w:tab w:val="num" w:pos="720"/>
              </w:tabs>
              <w:spacing w:after="75" w:line="286" w:lineRule="atLeast"/>
              <w:ind w:left="0"/>
              <w:rPr>
                <w:rStyle w:val="apple-converted-space"/>
                <w:rFonts w:asciiTheme="minorHAnsi" w:hAnsiTheme="minorHAnsi"/>
                <w:sz w:val="24"/>
                <w:szCs w:val="24"/>
              </w:rPr>
            </w:pPr>
            <w:r w:rsidRPr="00221F3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Compare the areas of regular and </w:t>
            </w:r>
            <w:r w:rsidR="00E70353" w:rsidRPr="00221F37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E70353" w:rsidRPr="00221F37">
              <w:rPr>
                <w:rFonts w:asciiTheme="minorHAnsi" w:hAnsiTheme="minorHAnsi"/>
                <w:sz w:val="24"/>
                <w:szCs w:val="24"/>
              </w:rPr>
              <w:instrText>HYPERLINK "http://syllabus.bos.nsw.edu.au/glossary/mat/irregular-shape/?ajax" \t "_blank" \o "Click for more information about 'irregular shapes'"</w:instrText>
            </w:r>
            <w:r w:rsidR="00E70353" w:rsidRPr="00221F3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21F37">
              <w:rPr>
                <w:rStyle w:val="Hyperlink"/>
                <w:rFonts w:asciiTheme="minorHAnsi" w:hAnsiTheme="minorHAnsi"/>
                <w:b/>
                <w:color w:val="auto"/>
                <w:sz w:val="24"/>
                <w:szCs w:val="24"/>
                <w:u w:val="none"/>
              </w:rPr>
              <w:t>irregular shapes</w:t>
            </w:r>
            <w:r w:rsidR="00E70353" w:rsidRPr="00221F37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21F37">
              <w:rPr>
                <w:rStyle w:val="apple-converted-space"/>
                <w:rFonts w:asciiTheme="minorHAnsi" w:hAnsiTheme="minorHAnsi"/>
                <w:b/>
                <w:sz w:val="24"/>
                <w:szCs w:val="24"/>
              </w:rPr>
              <w:t> </w:t>
            </w:r>
            <w:r w:rsidRPr="00221F37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Pr="00221F3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 informal means</w:t>
            </w:r>
            <w:r w:rsidRPr="00221F37">
              <w:rPr>
                <w:rStyle w:val="apple-converted-space"/>
                <w:rFonts w:asciiTheme="minorHAnsi" w:hAnsiTheme="minorHAnsi"/>
                <w:b/>
                <w:color w:val="000000"/>
                <w:sz w:val="24"/>
                <w:szCs w:val="24"/>
              </w:rPr>
              <w:t>.</w:t>
            </w:r>
          </w:p>
          <w:p w:rsidR="00891968" w:rsidRPr="00221F37" w:rsidRDefault="00891968" w:rsidP="00A1199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21F37">
              <w:rPr>
                <w:rFonts w:asciiTheme="minorHAnsi" w:hAnsiTheme="minorHAnsi"/>
                <w:color w:val="000000"/>
                <w:sz w:val="24"/>
                <w:szCs w:val="24"/>
              </w:rPr>
              <w:t>D</w:t>
            </w:r>
            <w:r w:rsidR="00A11990" w:rsidRPr="00221F3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evelop strategies for counting partial units </w:t>
            </w:r>
            <w:r w:rsidRPr="00221F37">
              <w:rPr>
                <w:rFonts w:asciiTheme="minorHAnsi" w:hAnsiTheme="minorHAnsi"/>
                <w:color w:val="000000"/>
                <w:sz w:val="24"/>
                <w:szCs w:val="24"/>
              </w:rPr>
              <w:t>in the total area of the shape</w:t>
            </w:r>
          </w:p>
          <w:p w:rsidR="00CA13F7" w:rsidRPr="00221F37" w:rsidRDefault="00CC4DB9" w:rsidP="00F10A5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150" w:line="286" w:lineRule="atLeast"/>
              <w:rPr>
                <w:rFonts w:asciiTheme="minorHAnsi" w:hAnsiTheme="minorHAnsi"/>
                <w:sz w:val="24"/>
                <w:szCs w:val="24"/>
              </w:rPr>
            </w:pPr>
            <w:r w:rsidRPr="00221F37">
              <w:rPr>
                <w:rFonts w:asciiTheme="minorHAnsi" w:hAnsiTheme="minorHAnsi"/>
                <w:color w:val="000000"/>
                <w:sz w:val="24"/>
                <w:szCs w:val="24"/>
              </w:rPr>
              <w:t>Measure the areas of irregular shapes using a square cm grid overlay.</w:t>
            </w:r>
          </w:p>
          <w:p w:rsidR="00CA13F7" w:rsidRPr="00221F3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51D" w:rsidRPr="00221F37" w:rsidRDefault="0018351D" w:rsidP="00221F3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21F3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Students measure the same sized irregular shapes using a variety of smaller rectangular shapes. </w:t>
            </w:r>
          </w:p>
          <w:p w:rsidR="0018351D" w:rsidRPr="00221F37" w:rsidRDefault="0018351D" w:rsidP="00221F3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21F3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Discuss the results – Why is it important to use the same unit of measure? </w:t>
            </w:r>
          </w:p>
          <w:p w:rsidR="00F10A55" w:rsidRPr="00221F37" w:rsidRDefault="00F10A55" w:rsidP="00A119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>
        <w:trPr>
          <w:trHeight w:hRule="exact" w:val="98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09F5" w:rsidRPr="00221F37" w:rsidRDefault="00847D8D" w:rsidP="00221F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21F37">
              <w:rPr>
                <w:rFonts w:asciiTheme="minorHAnsi" w:hAnsiTheme="minorHAnsi"/>
                <w:sz w:val="24"/>
                <w:szCs w:val="24"/>
              </w:rPr>
              <w:t xml:space="preserve">Guess my number – Students choose a number and say higher or lower partner has to guess number. Fewest </w:t>
            </w:r>
            <w:proofErr w:type="gramStart"/>
            <w:r w:rsidRPr="00221F37">
              <w:rPr>
                <w:rFonts w:asciiTheme="minorHAnsi" w:hAnsiTheme="minorHAnsi"/>
                <w:sz w:val="24"/>
                <w:szCs w:val="24"/>
              </w:rPr>
              <w:t>guesses</w:t>
            </w:r>
            <w:proofErr w:type="gramEnd"/>
            <w:r w:rsidRPr="00221F37">
              <w:rPr>
                <w:rFonts w:asciiTheme="minorHAnsi" w:hAnsiTheme="minorHAnsi"/>
                <w:sz w:val="24"/>
                <w:szCs w:val="24"/>
              </w:rPr>
              <w:t xml:space="preserve"> wins. </w:t>
            </w:r>
            <w:proofErr w:type="gramStart"/>
            <w:r w:rsidRPr="00221F37">
              <w:rPr>
                <w:rFonts w:asciiTheme="minorHAnsi" w:hAnsiTheme="minorHAnsi"/>
                <w:sz w:val="24"/>
                <w:szCs w:val="24"/>
              </w:rPr>
              <w:t>Multiplication shoot</w:t>
            </w:r>
            <w:proofErr w:type="gramEnd"/>
            <w:r w:rsidRPr="00221F37">
              <w:rPr>
                <w:rFonts w:asciiTheme="minorHAnsi" w:hAnsiTheme="minorHAnsi"/>
                <w:sz w:val="24"/>
                <w:szCs w:val="24"/>
              </w:rPr>
              <w:t xml:space="preserve"> out. </w:t>
            </w:r>
            <w:proofErr w:type="gramStart"/>
            <w:r w:rsidRPr="00221F37">
              <w:rPr>
                <w:rFonts w:asciiTheme="minorHAnsi" w:hAnsiTheme="minorHAnsi"/>
                <w:sz w:val="24"/>
                <w:szCs w:val="24"/>
              </w:rPr>
              <w:t>In teams they have a shoot out</w:t>
            </w:r>
            <w:proofErr w:type="gramEnd"/>
            <w:r w:rsidRPr="00221F3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gramStart"/>
            <w:r w:rsidRPr="00221F37">
              <w:rPr>
                <w:rFonts w:asciiTheme="minorHAnsi" w:hAnsiTheme="minorHAnsi"/>
                <w:sz w:val="24"/>
                <w:szCs w:val="24"/>
              </w:rPr>
              <w:t>quickest person stays in</w:t>
            </w:r>
            <w:proofErr w:type="gramEnd"/>
            <w:r w:rsidRPr="00221F37">
              <w:rPr>
                <w:rFonts w:asciiTheme="minorHAnsi" w:hAnsiTheme="minorHAnsi"/>
                <w:sz w:val="24"/>
                <w:szCs w:val="24"/>
              </w:rPr>
              <w:t>. Last person standing wins.</w:t>
            </w:r>
          </w:p>
          <w:p w:rsidR="005A7343" w:rsidRPr="00221F37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4A4DA4" w:rsidRDefault="005A7343" w:rsidP="00EF5B6B">
            <w:pPr>
              <w:pStyle w:val="NormalWeb"/>
              <w:shd w:val="clear" w:color="auto" w:fill="FFFFFF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6009F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6009F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62C9F" w:rsidRDefault="002D6678" w:rsidP="002D6678">
            <w:p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 2" w:eastAsiaTheme="minorHAnsi" w:hAnsi="Wingdings 2" w:cs="Verdana"/>
                <w:color w:val="231F20"/>
                <w:sz w:val="24"/>
                <w:szCs w:val="24"/>
              </w:rPr>
              <w:t></w:t>
            </w:r>
            <w:r w:rsidR="00081A4D" w:rsidRPr="00D62C9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D62C9F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D62C9F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="00081A4D" w:rsidRPr="00D62C9F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2D6678" w:rsidRDefault="002D6678" w:rsidP="002D6678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</w:t>
            </w:r>
            <w:r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D6678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6009F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6009F5" w:rsidRPr="000D378A" w:rsidRDefault="00D17386" w:rsidP="002D6678">
            <w:pPr>
              <w:rPr>
                <w:rFonts w:asciiTheme="minorHAnsi" w:hAnsiTheme="minorHAnsi"/>
              </w:rPr>
            </w:pPr>
            <w:r w:rsidRPr="000D378A">
              <w:rPr>
                <w:rFonts w:asciiTheme="minorHAnsi" w:hAnsiTheme="minorHAnsi"/>
              </w:rPr>
              <w:t>Grid paper, transparent grid overlays, art paper, boxes, oranges, leaves</w:t>
            </w:r>
          </w:p>
          <w:p w:rsidR="00FE7659" w:rsidRPr="000D378A" w:rsidRDefault="00221F37" w:rsidP="00FE7659">
            <w:pPr>
              <w:contextualSpacing/>
              <w:rPr>
                <w:rFonts w:asciiTheme="minorHAnsi" w:hAnsiTheme="minorHAnsi"/>
              </w:rPr>
            </w:pPr>
            <w:hyperlink r:id="rId7" w:history="1">
              <w:r w:rsidR="00FE7659" w:rsidRPr="000D378A">
                <w:rPr>
                  <w:rStyle w:val="Hyperlink"/>
                  <w:rFonts w:asciiTheme="minorHAnsi" w:hAnsiTheme="minorHAnsi"/>
                </w:rPr>
                <w:t>Nrich Math</w:t>
              </w:r>
            </w:hyperlink>
            <w:r w:rsidR="00FE7659" w:rsidRPr="000D378A">
              <w:rPr>
                <w:rFonts w:asciiTheme="minorHAnsi" w:hAnsiTheme="minorHAnsi"/>
              </w:rPr>
              <w:t>s – Torn Shapes</w:t>
            </w:r>
          </w:p>
          <w:p w:rsidR="00FE7659" w:rsidRPr="000D378A" w:rsidRDefault="00221F37" w:rsidP="00FE7659">
            <w:pPr>
              <w:contextualSpacing/>
              <w:rPr>
                <w:rFonts w:asciiTheme="minorHAnsi" w:hAnsiTheme="minorHAnsi"/>
              </w:rPr>
            </w:pPr>
            <w:hyperlink r:id="rId8" w:history="1">
              <w:r w:rsidR="00FE7659" w:rsidRPr="000D378A">
                <w:rPr>
                  <w:rStyle w:val="Hyperlink"/>
                  <w:rFonts w:asciiTheme="minorHAnsi" w:hAnsiTheme="minorHAnsi"/>
                </w:rPr>
                <w:t>Area Teaching aid –</w:t>
              </w:r>
            </w:hyperlink>
            <w:r w:rsidR="00FE7659" w:rsidRPr="000D378A">
              <w:rPr>
                <w:rFonts w:asciiTheme="minorHAnsi" w:hAnsiTheme="minorHAnsi"/>
              </w:rPr>
              <w:t xml:space="preserve"> How to calculate area?</w:t>
            </w:r>
          </w:p>
          <w:p w:rsidR="006009F5" w:rsidRPr="004A4DA4" w:rsidRDefault="00221F37" w:rsidP="00891968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FE7659" w:rsidRPr="006D799E">
                <w:rPr>
                  <w:rStyle w:val="Hyperlink"/>
                  <w:rFonts w:asciiTheme="minorHAnsi" w:hAnsiTheme="minorHAnsi"/>
                </w:rPr>
                <w:t>Area Interactive Games</w:t>
              </w:r>
            </w:hyperlink>
            <w:r w:rsidR="00891968">
              <w:rPr>
                <w:rStyle w:val="Hyperlink"/>
                <w:rFonts w:asciiTheme="minorHAnsi" w:hAnsiTheme="minorHAnsi"/>
              </w:rPr>
              <w:t xml:space="preserve"> </w:t>
            </w:r>
          </w:p>
        </w:tc>
      </w:tr>
    </w:tbl>
    <w:p w:rsidR="00CA13F7" w:rsidRDefault="00CA13F7"/>
    <w:p w:rsidR="000D378A" w:rsidRDefault="000D378A" w:rsidP="000D378A">
      <w:pPr>
        <w:spacing w:after="200" w:line="276" w:lineRule="auto"/>
      </w:pPr>
    </w:p>
    <w:p w:rsidR="000D378A" w:rsidRPr="008F4588" w:rsidRDefault="000D378A" w:rsidP="000D378A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0D378A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D378A" w:rsidRPr="004A4DA4" w:rsidRDefault="000D378A" w:rsidP="00C35A2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0D378A" w:rsidRPr="004A4DA4" w:rsidRDefault="000D378A" w:rsidP="00C35A2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0D378A" w:rsidRPr="004A4DA4">
        <w:trPr>
          <w:trHeight w:val="204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0D378A" w:rsidRPr="00221F37" w:rsidRDefault="000D378A" w:rsidP="00221F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Weidemann-Bold"/>
                <w:bCs/>
                <w:sz w:val="22"/>
                <w:szCs w:val="22"/>
                <w:lang w:eastAsia="en-AU"/>
              </w:rPr>
            </w:pPr>
            <w:r w:rsidRPr="00221F37">
              <w:rPr>
                <w:rFonts w:asciiTheme="minorHAnsi" w:hAnsiTheme="minorHAnsi" w:cs="Weidemann-Bold"/>
                <w:bCs/>
                <w:sz w:val="22"/>
                <w:szCs w:val="22"/>
                <w:lang w:eastAsia="en-AU"/>
              </w:rPr>
              <w:t xml:space="preserve">How do I know? </w:t>
            </w:r>
          </w:p>
          <w:p w:rsidR="000D378A" w:rsidRPr="00891968" w:rsidRDefault="000D378A" w:rsidP="00C35A24">
            <w:pPr>
              <w:autoSpaceDE w:val="0"/>
              <w:autoSpaceDN w:val="0"/>
              <w:adjustRightInd w:val="0"/>
              <w:rPr>
                <w:rFonts w:asciiTheme="minorHAnsi" w:hAnsiTheme="minorHAnsi" w:cs="Weidemann-Bold"/>
                <w:bCs/>
                <w:sz w:val="22"/>
                <w:szCs w:val="22"/>
                <w:lang w:eastAsia="en-AU"/>
              </w:rPr>
            </w:pPr>
            <w:r w:rsidRPr="00891968">
              <w:rPr>
                <w:rFonts w:asciiTheme="minorHAnsi" w:hAnsiTheme="minorHAnsi" w:cs="Weidemann-Bold"/>
                <w:bCs/>
                <w:sz w:val="22"/>
                <w:szCs w:val="22"/>
                <w:lang w:eastAsia="en-AU"/>
              </w:rPr>
              <w:t xml:space="preserve">Provide students with a variety of cardboard irregular shapes and a sheet of grid paper. Have the students place the rectangles on top of the grid paper and use the grid structure to determine the total </w:t>
            </w:r>
          </w:p>
          <w:p w:rsidR="000D378A" w:rsidRPr="00891968" w:rsidRDefault="000D378A" w:rsidP="00C35A24">
            <w:pPr>
              <w:autoSpaceDE w:val="0"/>
              <w:autoSpaceDN w:val="0"/>
              <w:adjustRightInd w:val="0"/>
              <w:rPr>
                <w:rFonts w:asciiTheme="minorHAnsi" w:hAnsiTheme="minorHAnsi" w:cs="Weidemann-Bold"/>
                <w:bCs/>
                <w:sz w:val="22"/>
                <w:szCs w:val="22"/>
                <w:lang w:eastAsia="en-AU"/>
              </w:rPr>
            </w:pPr>
            <w:proofErr w:type="gramStart"/>
            <w:r w:rsidRPr="00891968">
              <w:rPr>
                <w:rFonts w:asciiTheme="minorHAnsi" w:hAnsiTheme="minorHAnsi" w:cs="Weidemann-Bold"/>
                <w:bCs/>
                <w:sz w:val="22"/>
                <w:szCs w:val="22"/>
                <w:lang w:eastAsia="en-AU"/>
              </w:rPr>
              <w:t>number</w:t>
            </w:r>
            <w:proofErr w:type="gramEnd"/>
            <w:r w:rsidRPr="00891968">
              <w:rPr>
                <w:rFonts w:asciiTheme="minorHAnsi" w:hAnsiTheme="minorHAnsi" w:cs="Weidemann-Bold"/>
                <w:bCs/>
                <w:sz w:val="22"/>
                <w:szCs w:val="22"/>
                <w:lang w:eastAsia="en-AU"/>
              </w:rPr>
              <w:t xml:space="preserve"> of units covered by the rectangle. Have students share their results with others and explain how they determined the total. Discuss with students why grid paper is useful for measuring.</w:t>
            </w:r>
          </w:p>
          <w:p w:rsidR="000D378A" w:rsidRPr="00891968" w:rsidRDefault="000D378A" w:rsidP="00C35A24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1968">
              <w:rPr>
                <w:rFonts w:asciiTheme="minorHAnsi" w:hAnsiTheme="minorHAnsi"/>
                <w:b w:val="0"/>
                <w:sz w:val="22"/>
                <w:szCs w:val="22"/>
              </w:rPr>
              <w:t>Students will need to develop strategies for counting large numbers of square cms, Teacher will model and students complete</w:t>
            </w:r>
          </w:p>
          <w:p w:rsidR="000D378A" w:rsidRPr="00891968" w:rsidRDefault="000D378A" w:rsidP="00C35A24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919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1968">
              <w:rPr>
                <w:rFonts w:asciiTheme="minorHAnsi" w:hAnsiTheme="minorHAnsi"/>
                <w:b w:val="0"/>
                <w:sz w:val="22"/>
                <w:szCs w:val="22"/>
              </w:rPr>
              <w:t xml:space="preserve">- </w:t>
            </w:r>
            <w:proofErr w:type="gramStart"/>
            <w:r w:rsidRPr="00891968">
              <w:rPr>
                <w:rFonts w:asciiTheme="minorHAnsi" w:hAnsiTheme="minorHAnsi"/>
                <w:b w:val="0"/>
                <w:sz w:val="22"/>
                <w:szCs w:val="22"/>
              </w:rPr>
              <w:t>marking</w:t>
            </w:r>
            <w:proofErr w:type="gramEnd"/>
            <w:r w:rsidRPr="00891968">
              <w:rPr>
                <w:rFonts w:asciiTheme="minorHAnsi" w:hAnsiTheme="minorHAnsi"/>
                <w:b w:val="0"/>
                <w:sz w:val="22"/>
                <w:szCs w:val="22"/>
              </w:rPr>
              <w:t xml:space="preserve"> off groups of ten and having a partner tally the tens</w:t>
            </w:r>
          </w:p>
          <w:p w:rsidR="000D378A" w:rsidRPr="00891968" w:rsidRDefault="000D378A" w:rsidP="00C35A24">
            <w:pPr>
              <w:rPr>
                <w:rFonts w:asciiTheme="minorHAnsi" w:hAnsiTheme="minorHAnsi"/>
                <w:sz w:val="22"/>
                <w:szCs w:val="22"/>
              </w:rPr>
            </w:pPr>
            <w:r w:rsidRPr="00891968">
              <w:rPr>
                <w:rFonts w:asciiTheme="minorHAnsi" w:hAnsiTheme="minorHAnsi"/>
                <w:sz w:val="22"/>
                <w:szCs w:val="22"/>
              </w:rPr>
              <w:t>- covering a box or stone in grid paper and marking only the squares that can be seen.</w:t>
            </w:r>
          </w:p>
          <w:p w:rsidR="000D378A" w:rsidRPr="00891968" w:rsidRDefault="000D378A" w:rsidP="00C35A24">
            <w:pPr>
              <w:rPr>
                <w:rFonts w:asciiTheme="minorHAnsi" w:hAnsiTheme="minorHAnsi"/>
                <w:sz w:val="22"/>
                <w:szCs w:val="22"/>
              </w:rPr>
            </w:pPr>
            <w:r w:rsidRPr="00891968">
              <w:rPr>
                <w:rFonts w:asciiTheme="minorHAnsi" w:hAnsiTheme="minorHAnsi"/>
                <w:sz w:val="22"/>
                <w:szCs w:val="22"/>
              </w:rPr>
              <w:t>- any square with more than half showing is counted as one</w:t>
            </w:r>
          </w:p>
          <w:p w:rsidR="000D378A" w:rsidRPr="00891968" w:rsidRDefault="000D378A" w:rsidP="00C35A24">
            <w:pPr>
              <w:autoSpaceDE w:val="0"/>
              <w:autoSpaceDN w:val="0"/>
              <w:adjustRightInd w:val="0"/>
              <w:rPr>
                <w:rFonts w:ascii="Comic Sans MS" w:hAnsi="Comic Sans MS" w:cs="Weidemann-Bold"/>
                <w:b/>
                <w:bCs/>
                <w:sz w:val="22"/>
                <w:szCs w:val="22"/>
                <w:lang w:eastAsia="en-AU"/>
              </w:rPr>
            </w:pPr>
            <w:r w:rsidRPr="00891968">
              <w:rPr>
                <w:rFonts w:asciiTheme="minorHAnsi" w:hAnsiTheme="minorHAnsi"/>
                <w:sz w:val="22"/>
                <w:szCs w:val="22"/>
              </w:rPr>
              <w:t>- any square with less than half showing is not counted or, alternatively, mark whole squares as1 and half squares as 0.5</w:t>
            </w:r>
          </w:p>
          <w:p w:rsidR="000D378A" w:rsidRPr="004A4DA4" w:rsidRDefault="000D378A" w:rsidP="00C35A24">
            <w:pPr>
              <w:keepLines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0D378A" w:rsidRPr="004A4DA4" w:rsidRDefault="000D378A" w:rsidP="00C35A2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0D378A" w:rsidRDefault="000D378A" w:rsidP="00C35A2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D378A" w:rsidRDefault="000D378A" w:rsidP="00C35A2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0D378A" w:rsidRPr="004A4DA4" w:rsidRDefault="000D378A" w:rsidP="00C35A2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:rsidR="000D378A" w:rsidRPr="00221F37" w:rsidRDefault="000D378A" w:rsidP="00221F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21F37">
              <w:rPr>
                <w:rFonts w:asciiTheme="minorHAnsi" w:hAnsiTheme="minorHAnsi"/>
              </w:rPr>
              <w:t>Triangles</w:t>
            </w:r>
          </w:p>
          <w:p w:rsidR="000D378A" w:rsidRPr="00891968" w:rsidRDefault="000D378A" w:rsidP="00C35A24">
            <w:pPr>
              <w:contextualSpacing/>
              <w:rPr>
                <w:rFonts w:asciiTheme="minorHAnsi" w:hAnsiTheme="minorHAnsi"/>
              </w:rPr>
            </w:pPr>
            <w:r w:rsidRPr="00891968">
              <w:rPr>
                <w:rFonts w:asciiTheme="minorHAnsi" w:hAnsiTheme="minorHAnsi"/>
              </w:rPr>
              <w:t>Cut a square with 4cm sides from centimetre grid paper. Find and record the area of this square. Draw in the diagonals and cut along them to form four triangles. Re-arrange the four triangles to make a rectangle. Find and record the area of the rectangle and discuss results with their group.</w:t>
            </w:r>
          </w:p>
          <w:p w:rsidR="000D378A" w:rsidRPr="00891968" w:rsidRDefault="00221F37" w:rsidP="00C35A24">
            <w:pPr>
              <w:contextualSpacing/>
              <w:rPr>
                <w:rFonts w:asciiTheme="minorHAnsi" w:hAnsiTheme="minorHAnsi"/>
              </w:rPr>
            </w:pPr>
            <w:hyperlink r:id="rId10" w:history="1">
              <w:r w:rsidR="000D378A" w:rsidRPr="00891968">
                <w:rPr>
                  <w:rStyle w:val="Hyperlink"/>
                  <w:rFonts w:asciiTheme="minorHAnsi" w:hAnsiTheme="minorHAnsi"/>
                </w:rPr>
                <w:t>Nrich Math</w:t>
              </w:r>
            </w:hyperlink>
            <w:r w:rsidR="000D378A" w:rsidRPr="00891968">
              <w:rPr>
                <w:rFonts w:asciiTheme="minorHAnsi" w:hAnsiTheme="minorHAnsi"/>
              </w:rPr>
              <w:t>s – Torn Shapes</w:t>
            </w:r>
          </w:p>
          <w:p w:rsidR="000D378A" w:rsidRPr="00891968" w:rsidRDefault="000D378A" w:rsidP="00C35A24">
            <w:pPr>
              <w:contextualSpacing/>
              <w:rPr>
                <w:rFonts w:asciiTheme="minorHAnsi" w:hAnsiTheme="minorHAnsi"/>
              </w:rPr>
            </w:pPr>
          </w:p>
          <w:p w:rsidR="000D378A" w:rsidRPr="00891968" w:rsidRDefault="00221F37" w:rsidP="00C35A24">
            <w:pPr>
              <w:contextualSpacing/>
              <w:rPr>
                <w:rFonts w:asciiTheme="minorHAnsi" w:hAnsiTheme="minorHAnsi"/>
              </w:rPr>
            </w:pPr>
            <w:hyperlink r:id="rId11" w:history="1">
              <w:r w:rsidR="000D378A" w:rsidRPr="00891968">
                <w:rPr>
                  <w:rStyle w:val="Hyperlink"/>
                  <w:rFonts w:asciiTheme="minorHAnsi" w:hAnsiTheme="minorHAnsi"/>
                </w:rPr>
                <w:t>Area Teaching aid –</w:t>
              </w:r>
            </w:hyperlink>
            <w:r w:rsidR="000D378A" w:rsidRPr="00891968">
              <w:rPr>
                <w:rFonts w:asciiTheme="minorHAnsi" w:hAnsiTheme="minorHAnsi"/>
              </w:rPr>
              <w:t xml:space="preserve"> How to calculate area?</w:t>
            </w:r>
          </w:p>
          <w:p w:rsidR="000D378A" w:rsidRPr="00891968" w:rsidRDefault="000D378A" w:rsidP="00C35A24">
            <w:pPr>
              <w:contextualSpacing/>
              <w:rPr>
                <w:rFonts w:asciiTheme="minorHAnsi" w:hAnsiTheme="minorHAnsi"/>
              </w:rPr>
            </w:pPr>
          </w:p>
          <w:p w:rsidR="000D378A" w:rsidRPr="00891968" w:rsidRDefault="00221F37" w:rsidP="00C35A24">
            <w:pPr>
              <w:contextualSpacing/>
              <w:rPr>
                <w:rFonts w:asciiTheme="minorHAnsi" w:hAnsiTheme="minorHAnsi"/>
              </w:rPr>
            </w:pPr>
            <w:hyperlink r:id="rId12" w:history="1">
              <w:r w:rsidR="000D378A" w:rsidRPr="00891968">
                <w:rPr>
                  <w:rStyle w:val="Hyperlink"/>
                  <w:rFonts w:asciiTheme="minorHAnsi" w:hAnsiTheme="minorHAnsi"/>
                </w:rPr>
                <w:t>Area Interactive Games</w:t>
              </w:r>
            </w:hyperlink>
          </w:p>
          <w:p w:rsidR="000D378A" w:rsidRPr="00891968" w:rsidRDefault="000D378A" w:rsidP="00C35A24">
            <w:pPr>
              <w:contextualSpacing/>
              <w:rPr>
                <w:rFonts w:asciiTheme="minorHAnsi" w:hAnsiTheme="minorHAnsi" w:cs="Weidemann-Book"/>
                <w:lang w:eastAsia="en-AU"/>
              </w:rPr>
            </w:pPr>
          </w:p>
        </w:tc>
      </w:tr>
      <w:tr w:rsidR="000D378A" w:rsidRPr="004A4DA4">
        <w:trPr>
          <w:trHeight w:val="212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0D378A" w:rsidRPr="004A4DA4" w:rsidRDefault="000D378A" w:rsidP="00C35A24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0D378A" w:rsidRPr="004A4DA4" w:rsidRDefault="000D378A" w:rsidP="00C35A2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0D378A" w:rsidRDefault="000D378A" w:rsidP="00C35A2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0D378A" w:rsidRPr="004A4DA4" w:rsidRDefault="000D378A" w:rsidP="00C35A2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</w:t>
            </w:r>
          </w:p>
        </w:tc>
        <w:tc>
          <w:tcPr>
            <w:tcW w:w="9639" w:type="dxa"/>
          </w:tcPr>
          <w:p w:rsidR="000D378A" w:rsidRPr="00891968" w:rsidRDefault="000D378A" w:rsidP="00C35A24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891968">
              <w:rPr>
                <w:rFonts w:asciiTheme="minorHAnsi" w:hAnsiTheme="minorHAnsi"/>
                <w:color w:val="000000"/>
                <w:shd w:val="clear" w:color="auto" w:fill="FFFFFF"/>
              </w:rPr>
              <w:t>Measure the areas of irregular shapes using a square-centimetre grid overlay,</w:t>
            </w:r>
          </w:p>
          <w:p w:rsidR="000D378A" w:rsidRPr="00891968" w:rsidRDefault="000D378A" w:rsidP="00C35A24">
            <w:pPr>
              <w:rPr>
                <w:rFonts w:asciiTheme="minorHAnsi" w:hAnsiTheme="minorHAnsi"/>
              </w:rPr>
            </w:pPr>
            <w:r w:rsidRPr="0089196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F64E9C" w:rsidRPr="00891968">
              <w:rPr>
                <w:rFonts w:asciiTheme="minorHAnsi" w:hAnsiTheme="minorHAnsi"/>
                <w:color w:val="000000"/>
                <w:shd w:val="clear" w:color="auto" w:fill="FFFFFF"/>
              </w:rPr>
              <w:t>e.g.</w:t>
            </w:r>
            <w:r w:rsidRPr="00891968">
              <w:rPr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891968">
              <w:rPr>
                <w:rFonts w:asciiTheme="minorHAnsi" w:hAnsiTheme="minorHAnsi"/>
                <w:color w:val="000000"/>
                <w:sz w:val="21"/>
                <w:szCs w:val="21"/>
              </w:rPr>
              <w:br/>
            </w:r>
            <w:r w:rsidRPr="00891968">
              <w:rPr>
                <w:rFonts w:asciiTheme="minorHAnsi" w:hAnsiTheme="minorHAns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91968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685800" cy="693420"/>
                  <wp:effectExtent l="0" t="0" r="0" b="0"/>
                  <wp:docPr id="4" name="Picture 4" descr="he image shows the outline of a leaf that is covered by a grid overl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 image shows the outline of a leaf that is covered by a grid overla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0" cy="69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78A" w:rsidRPr="00221F37" w:rsidRDefault="000D378A" w:rsidP="00221F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C0504D" w:themeColor="accent2"/>
              </w:rPr>
            </w:pPr>
            <w:r w:rsidRPr="00221F37">
              <w:rPr>
                <w:rFonts w:asciiTheme="minorHAnsi" w:hAnsiTheme="minorHAnsi"/>
                <w:color w:val="C0504D" w:themeColor="accent2"/>
              </w:rPr>
              <w:t xml:space="preserve">Blobs </w:t>
            </w:r>
          </w:p>
          <w:p w:rsidR="000D378A" w:rsidRPr="00891968" w:rsidRDefault="000D378A" w:rsidP="00C35A2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lang w:eastAsia="en-AU"/>
              </w:rPr>
            </w:pPr>
            <w:r w:rsidRPr="00891968">
              <w:rPr>
                <w:rFonts w:asciiTheme="minorHAnsi" w:hAnsiTheme="minorHAnsi"/>
                <w:color w:val="C0504D" w:themeColor="accent2"/>
              </w:rPr>
              <w:t xml:space="preserve">Make large paint blobs – students use </w:t>
            </w:r>
            <w:r w:rsidRPr="00891968">
              <w:rPr>
                <w:rFonts w:asciiTheme="minorHAnsi" w:hAnsiTheme="minorHAnsi"/>
                <w:color w:val="C0504D" w:themeColor="accent2"/>
                <w:shd w:val="clear" w:color="auto" w:fill="FFFFFF"/>
              </w:rPr>
              <w:t>square-centimetre grid overlay to work out the area. Students use strategies to deal with parts of a square cm.</w:t>
            </w:r>
          </w:p>
        </w:tc>
      </w:tr>
      <w:tr w:rsidR="000D378A" w:rsidRPr="004A4DA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0D378A" w:rsidRPr="004A4DA4" w:rsidRDefault="000D378A" w:rsidP="00C35A24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0D378A" w:rsidRPr="004A4DA4" w:rsidRDefault="000D378A" w:rsidP="00C35A2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0D378A" w:rsidRDefault="000D378A" w:rsidP="00C35A2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D378A" w:rsidRDefault="000D378A" w:rsidP="00C35A2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0D378A" w:rsidRPr="004A4DA4" w:rsidRDefault="000D378A" w:rsidP="00C35A24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:rsidR="000D378A" w:rsidRPr="00221F37" w:rsidRDefault="000D378A" w:rsidP="00221F3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bookmarkStart w:id="0" w:name="_GoBack"/>
            <w:bookmarkEnd w:id="0"/>
            <w:r w:rsidRPr="00221F37">
              <w:rPr>
                <w:rFonts w:asciiTheme="minorHAnsi" w:hAnsiTheme="minorHAnsi"/>
              </w:rPr>
              <w:t>Wrapping and Measuring</w:t>
            </w:r>
          </w:p>
          <w:p w:rsidR="000D378A" w:rsidRPr="00891968" w:rsidRDefault="000D378A" w:rsidP="00C35A24">
            <w:pPr>
              <w:rPr>
                <w:rFonts w:asciiTheme="minorHAnsi" w:hAnsiTheme="minorHAnsi"/>
              </w:rPr>
            </w:pPr>
            <w:r w:rsidRPr="00891968">
              <w:rPr>
                <w:rFonts w:asciiTheme="minorHAnsi" w:hAnsiTheme="minorHAnsi"/>
              </w:rPr>
              <w:t xml:space="preserve">Students find surface areas of </w:t>
            </w:r>
            <w:proofErr w:type="gramStart"/>
            <w:r w:rsidRPr="00891968">
              <w:rPr>
                <w:rFonts w:asciiTheme="minorHAnsi" w:hAnsiTheme="minorHAnsi"/>
              </w:rPr>
              <w:t>solids  e.g</w:t>
            </w:r>
            <w:proofErr w:type="gramEnd"/>
            <w:r w:rsidRPr="00891968">
              <w:rPr>
                <w:rFonts w:asciiTheme="minorHAnsi" w:hAnsiTheme="minorHAnsi"/>
              </w:rPr>
              <w:t>. tennis ball, stone, box. Possible strategies include the following.</w:t>
            </w:r>
          </w:p>
          <w:p w:rsidR="000D378A" w:rsidRPr="00891968" w:rsidRDefault="000D378A" w:rsidP="000D378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891968">
              <w:rPr>
                <w:rFonts w:asciiTheme="minorHAnsi" w:hAnsiTheme="minorHAnsi"/>
              </w:rPr>
              <w:t xml:space="preserve">Wrap the object in one centimetre grid paper and tick visible squares and colour partial squares. </w:t>
            </w:r>
          </w:p>
          <w:p w:rsidR="000D378A" w:rsidRPr="00891968" w:rsidRDefault="000D378A" w:rsidP="000D378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891968">
              <w:rPr>
                <w:rFonts w:asciiTheme="minorHAnsi" w:hAnsiTheme="minorHAnsi"/>
              </w:rPr>
              <w:t>Flatten boxes and measure with transparent grid.</w:t>
            </w:r>
          </w:p>
          <w:p w:rsidR="000D378A" w:rsidRPr="00891968" w:rsidRDefault="000D378A" w:rsidP="00C35A24">
            <w:pPr>
              <w:rPr>
                <w:rFonts w:asciiTheme="minorHAnsi" w:hAnsiTheme="minorHAnsi"/>
                <w:sz w:val="24"/>
                <w:szCs w:val="24"/>
              </w:rPr>
            </w:pPr>
            <w:r w:rsidRPr="00891968">
              <w:rPr>
                <w:rFonts w:asciiTheme="minorHAnsi" w:hAnsiTheme="minorHAnsi"/>
              </w:rPr>
              <w:t>Investigation – Peel an orange and work out the area.</w:t>
            </w:r>
          </w:p>
        </w:tc>
      </w:tr>
      <w:tr w:rsidR="000D378A" w:rsidRPr="004A4DA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D378A" w:rsidRPr="004A4DA4" w:rsidRDefault="000D378A" w:rsidP="00C35A24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0D378A" w:rsidRPr="004A4DA4" w:rsidRDefault="000D378A" w:rsidP="00C35A2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5274EA" w:rsidRPr="00E10C27" w:rsidRDefault="005274EA" w:rsidP="005274EA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:rsidR="000D378A" w:rsidRPr="004A4DA4" w:rsidRDefault="005274EA" w:rsidP="005274EA">
            <w:pPr>
              <w:rPr>
                <w:rFonts w:asciiTheme="minorHAnsi" w:hAnsiTheme="minorHAnsi"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Follow Up:</w:t>
            </w:r>
          </w:p>
        </w:tc>
      </w:tr>
    </w:tbl>
    <w:p w:rsidR="000D378A" w:rsidRPr="008F4588" w:rsidRDefault="000D378A" w:rsidP="000D378A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:rsidR="00CA13F7" w:rsidRDefault="00CA13F7">
      <w:pPr>
        <w:spacing w:after="200" w:line="276" w:lineRule="auto"/>
      </w:pPr>
    </w:p>
    <w:sectPr w:rsidR="00CA13F7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ideman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E31"/>
    <w:multiLevelType w:val="hybridMultilevel"/>
    <w:tmpl w:val="27D463B8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pStyle w:val="TableTex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04B4"/>
    <w:multiLevelType w:val="hybridMultilevel"/>
    <w:tmpl w:val="2E9CA46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56342"/>
    <w:multiLevelType w:val="multilevel"/>
    <w:tmpl w:val="5154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70EAE"/>
    <w:multiLevelType w:val="hybridMultilevel"/>
    <w:tmpl w:val="543CE0D0"/>
    <w:lvl w:ilvl="0" w:tplc="C900B6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2C80"/>
    <w:multiLevelType w:val="multilevel"/>
    <w:tmpl w:val="BE6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07B94"/>
    <w:multiLevelType w:val="hybridMultilevel"/>
    <w:tmpl w:val="8DA2FC6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0C661C7A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F61774"/>
    <w:multiLevelType w:val="multilevel"/>
    <w:tmpl w:val="F6F00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E1A7AC2"/>
    <w:multiLevelType w:val="multilevel"/>
    <w:tmpl w:val="78D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9"/>
  </w:num>
  <w:num w:numId="5">
    <w:abstractNumId w:val="4"/>
  </w:num>
  <w:num w:numId="6">
    <w:abstractNumId w:val="2"/>
  </w:num>
  <w:num w:numId="7">
    <w:abstractNumId w:val="13"/>
  </w:num>
  <w:num w:numId="8">
    <w:abstractNumId w:val="23"/>
  </w:num>
  <w:num w:numId="9">
    <w:abstractNumId w:val="12"/>
  </w:num>
  <w:num w:numId="10">
    <w:abstractNumId w:val="19"/>
  </w:num>
  <w:num w:numId="11">
    <w:abstractNumId w:val="11"/>
  </w:num>
  <w:num w:numId="12">
    <w:abstractNumId w:val="22"/>
  </w:num>
  <w:num w:numId="13">
    <w:abstractNumId w:val="7"/>
  </w:num>
  <w:num w:numId="14">
    <w:abstractNumId w:val="3"/>
  </w:num>
  <w:num w:numId="15">
    <w:abstractNumId w:val="15"/>
  </w:num>
  <w:num w:numId="16">
    <w:abstractNumId w:val="5"/>
  </w:num>
  <w:num w:numId="17">
    <w:abstractNumId w:val="10"/>
  </w:num>
  <w:num w:numId="18">
    <w:abstractNumId w:val="21"/>
  </w:num>
  <w:num w:numId="19">
    <w:abstractNumId w:val="25"/>
  </w:num>
  <w:num w:numId="20">
    <w:abstractNumId w:val="16"/>
  </w:num>
  <w:num w:numId="21">
    <w:abstractNumId w:val="24"/>
  </w:num>
  <w:num w:numId="22">
    <w:abstractNumId w:val="8"/>
  </w:num>
  <w:num w:numId="23">
    <w:abstractNumId w:val="14"/>
  </w:num>
  <w:num w:numId="24">
    <w:abstractNumId w:val="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97E"/>
    <w:rsid w:val="00081A4D"/>
    <w:rsid w:val="00085889"/>
    <w:rsid w:val="000A54BD"/>
    <w:rsid w:val="000C4175"/>
    <w:rsid w:val="000D378A"/>
    <w:rsid w:val="000D5733"/>
    <w:rsid w:val="000E52B8"/>
    <w:rsid w:val="0010795F"/>
    <w:rsid w:val="001131C6"/>
    <w:rsid w:val="00116C60"/>
    <w:rsid w:val="001357A6"/>
    <w:rsid w:val="001451A1"/>
    <w:rsid w:val="001717B7"/>
    <w:rsid w:val="0018351D"/>
    <w:rsid w:val="001B12DF"/>
    <w:rsid w:val="001B7956"/>
    <w:rsid w:val="001C6A19"/>
    <w:rsid w:val="001F0A11"/>
    <w:rsid w:val="00210BA1"/>
    <w:rsid w:val="00221F37"/>
    <w:rsid w:val="0022220D"/>
    <w:rsid w:val="00262977"/>
    <w:rsid w:val="002650AE"/>
    <w:rsid w:val="002A32F4"/>
    <w:rsid w:val="002B3979"/>
    <w:rsid w:val="002D6678"/>
    <w:rsid w:val="002E2AC1"/>
    <w:rsid w:val="00330841"/>
    <w:rsid w:val="00335DDE"/>
    <w:rsid w:val="003F5FE9"/>
    <w:rsid w:val="00403F6E"/>
    <w:rsid w:val="00443B37"/>
    <w:rsid w:val="004A4738"/>
    <w:rsid w:val="004A4DA4"/>
    <w:rsid w:val="004B2453"/>
    <w:rsid w:val="004B76C4"/>
    <w:rsid w:val="004D1266"/>
    <w:rsid w:val="00520774"/>
    <w:rsid w:val="00521B3A"/>
    <w:rsid w:val="005274EA"/>
    <w:rsid w:val="0053162C"/>
    <w:rsid w:val="0057006E"/>
    <w:rsid w:val="00571856"/>
    <w:rsid w:val="00571ECB"/>
    <w:rsid w:val="00575B6D"/>
    <w:rsid w:val="005A7343"/>
    <w:rsid w:val="005D001F"/>
    <w:rsid w:val="005D2618"/>
    <w:rsid w:val="006009F5"/>
    <w:rsid w:val="00633BA7"/>
    <w:rsid w:val="00637574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47D8D"/>
    <w:rsid w:val="00877309"/>
    <w:rsid w:val="0088150C"/>
    <w:rsid w:val="00891968"/>
    <w:rsid w:val="008B7ED5"/>
    <w:rsid w:val="008C7B62"/>
    <w:rsid w:val="008D520D"/>
    <w:rsid w:val="008F4588"/>
    <w:rsid w:val="00906962"/>
    <w:rsid w:val="009138EC"/>
    <w:rsid w:val="00925DF8"/>
    <w:rsid w:val="00932461"/>
    <w:rsid w:val="00932E16"/>
    <w:rsid w:val="00956D92"/>
    <w:rsid w:val="00961AC9"/>
    <w:rsid w:val="00977E43"/>
    <w:rsid w:val="009F49B9"/>
    <w:rsid w:val="00A11990"/>
    <w:rsid w:val="00A11BAA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4613C"/>
    <w:rsid w:val="00C660B3"/>
    <w:rsid w:val="00C7475F"/>
    <w:rsid w:val="00C909B1"/>
    <w:rsid w:val="00CA13F7"/>
    <w:rsid w:val="00CB2AF4"/>
    <w:rsid w:val="00CB39EB"/>
    <w:rsid w:val="00CC2336"/>
    <w:rsid w:val="00CC4DB9"/>
    <w:rsid w:val="00CC5D42"/>
    <w:rsid w:val="00D01B42"/>
    <w:rsid w:val="00D17386"/>
    <w:rsid w:val="00D36387"/>
    <w:rsid w:val="00D41A1D"/>
    <w:rsid w:val="00D45271"/>
    <w:rsid w:val="00D62C9F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70353"/>
    <w:rsid w:val="00E84467"/>
    <w:rsid w:val="00EB1737"/>
    <w:rsid w:val="00ED18F4"/>
    <w:rsid w:val="00EE7DFF"/>
    <w:rsid w:val="00EF5B6B"/>
    <w:rsid w:val="00F0294E"/>
    <w:rsid w:val="00F10A55"/>
    <w:rsid w:val="00F46276"/>
    <w:rsid w:val="00F64E9C"/>
    <w:rsid w:val="00F97771"/>
    <w:rsid w:val="00FA063A"/>
    <w:rsid w:val="00FA3E3E"/>
    <w:rsid w:val="00FD11C0"/>
    <w:rsid w:val="00FD4CD2"/>
    <w:rsid w:val="00FE1DB3"/>
    <w:rsid w:val="00FE7659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09F5"/>
    <w:pPr>
      <w:spacing w:before="100" w:beforeAutospacing="1" w:after="100" w:afterAutospacing="1"/>
    </w:pPr>
    <w:rPr>
      <w:rFonts w:ascii="Times" w:eastAsiaTheme="minorHAnsi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FE7659"/>
    <w:rPr>
      <w:color w:val="800080" w:themeColor="followedHyperlink"/>
      <w:u w:val="single"/>
    </w:rPr>
  </w:style>
  <w:style w:type="paragraph" w:customStyle="1" w:styleId="TableTextBullet1">
    <w:name w:val="TableTextBullet 1"/>
    <w:basedOn w:val="Normal"/>
    <w:rsid w:val="000D378A"/>
    <w:pPr>
      <w:numPr>
        <w:numId w:val="2"/>
      </w:numPr>
      <w:tabs>
        <w:tab w:val="left" w:pos="181"/>
        <w:tab w:val="left" w:pos="363"/>
        <w:tab w:val="left" w:pos="544"/>
      </w:tabs>
      <w:spacing w:before="20" w:after="20"/>
      <w:ind w:left="181" w:hanging="1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09F5"/>
    <w:pPr>
      <w:spacing w:before="100" w:beforeAutospacing="1" w:after="100" w:afterAutospacing="1"/>
    </w:pPr>
    <w:rPr>
      <w:rFonts w:ascii="Times" w:eastAsiaTheme="minorHAnsi" w:hAnsi="Times"/>
    </w:rPr>
  </w:style>
  <w:style w:type="character" w:styleId="FollowedHyperlink">
    <w:name w:val="FollowedHyperlink"/>
    <w:basedOn w:val="DefaultParagraphFont"/>
    <w:uiPriority w:val="99"/>
    <w:semiHidden/>
    <w:unhideWhenUsed/>
    <w:rsid w:val="00FE7659"/>
    <w:rPr>
      <w:color w:val="800080" w:themeColor="followedHyperlink"/>
      <w:u w:val="single"/>
    </w:rPr>
  </w:style>
  <w:style w:type="paragraph" w:customStyle="1" w:styleId="TableTextBullet1">
    <w:name w:val="TableTextBullet 1"/>
    <w:basedOn w:val="Normal"/>
    <w:rsid w:val="000D378A"/>
    <w:pPr>
      <w:numPr>
        <w:numId w:val="2"/>
      </w:numPr>
      <w:tabs>
        <w:tab w:val="left" w:pos="181"/>
        <w:tab w:val="left" w:pos="363"/>
        <w:tab w:val="left" w:pos="544"/>
      </w:tabs>
      <w:spacing w:before="20" w:after="20"/>
      <w:ind w:left="181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halk.co.uk/maths/dfes_numeracy/Assets/area_flash.swf" TargetMode="External"/><Relationship Id="rId12" Type="http://schemas.openxmlformats.org/officeDocument/2006/relationships/hyperlink" Target="http://www.bgfl.org/bgfl/custom/resources_ftp/client_ftp/ks2/maths/perimeter_and_area/index.html" TargetMode="Externa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nrich.maths.org/9028" TargetMode="External"/><Relationship Id="rId8" Type="http://schemas.openxmlformats.org/officeDocument/2006/relationships/hyperlink" Target="http://www.echalk.co.uk/maths/dfes_numeracy/Assets/area_flash.swf" TargetMode="External"/><Relationship Id="rId9" Type="http://schemas.openxmlformats.org/officeDocument/2006/relationships/hyperlink" Target="http://www.bgfl.org/bgfl/custom/resources_ftp/client_ftp/ks2/maths/perimeter_and_area/index.html" TargetMode="External"/><Relationship Id="rId10" Type="http://schemas.openxmlformats.org/officeDocument/2006/relationships/hyperlink" Target="http://nrich.maths.org/9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9F01-77F7-D944-8608-D673F37D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2015-01-11T22:42:00Z</dcterms:created>
  <dcterms:modified xsi:type="dcterms:W3CDTF">2015-01-11T22:42:00Z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