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9F49B3E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486C58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45EFD797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5AF00D10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5686F">
              <w:rPr>
                <w:rFonts w:asciiTheme="minorHAnsi" w:hAnsiTheme="minorHAnsi"/>
                <w:b w:val="0"/>
                <w:szCs w:val="24"/>
              </w:rPr>
              <w:t xml:space="preserve">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1D2E9E77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</w:p>
          <w:p w14:paraId="5D459EBB" w14:textId="4490AB02" w:rsidR="00D41A1D" w:rsidRPr="004A4DA4" w:rsidRDefault="009E64D3" w:rsidP="005D2618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Number and Algebra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CFD481C" w14:textId="77777777" w:rsidR="00D41A1D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</w:p>
          <w:p w14:paraId="410E81FB" w14:textId="1BC458F4" w:rsidR="009E64D3" w:rsidRPr="00923B36" w:rsidRDefault="009E64D3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Addition and Subtraction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6954901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381E8654" w14:textId="4A0EBB10" w:rsidR="009E64D3" w:rsidRDefault="009E64D3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MA1-1WM and MA1-3WM</w:t>
            </w:r>
          </w:p>
          <w:p w14:paraId="0E4704C7" w14:textId="33E8E4D7" w:rsidR="009E64D3" w:rsidRPr="00923B36" w:rsidRDefault="009E64D3" w:rsidP="004A4D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13F7" w:rsidRPr="004A4DA4" w14:paraId="2E3192F3" w14:textId="77777777" w:rsidTr="00923B36">
        <w:trPr>
          <w:trHeight w:hRule="exact" w:val="45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06140BA0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5AEC8D" w14:textId="3CC398B0" w:rsidR="00CA13F7" w:rsidRPr="004A4DA4" w:rsidRDefault="00C7682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E64D3">
              <w:rPr>
                <w:rFonts w:asciiTheme="minorHAnsi" w:hAnsiTheme="minorHAnsi"/>
                <w:b/>
                <w:sz w:val="24"/>
                <w:szCs w:val="24"/>
              </w:rPr>
              <w:t xml:space="preserve">MA1-5NA </w:t>
            </w:r>
            <w:r w:rsidR="009E64D3" w:rsidRPr="009E64D3">
              <w:rPr>
                <w:rFonts w:asciiTheme="minorHAnsi" w:hAnsiTheme="minorHAnsi"/>
                <w:sz w:val="22"/>
                <w:szCs w:val="22"/>
              </w:rPr>
              <w:t>uses a range of strategies and informal recording methods for addition and subtraction involving one- and two- digit numbers.</w:t>
            </w:r>
          </w:p>
        </w:tc>
      </w:tr>
      <w:tr w:rsidR="00CA13F7" w:rsidRPr="004A4DA4" w14:paraId="2B1E5F1E" w14:textId="77777777" w:rsidTr="009E64D3">
        <w:trPr>
          <w:trHeight w:hRule="exact" w:val="1816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FCA7B96" w14:textId="77777777" w:rsidR="00923B36" w:rsidRPr="004A4DA4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F87C58" w14:textId="77777777" w:rsidR="009E64D3" w:rsidRPr="00C57825" w:rsidRDefault="009E64D3" w:rsidP="00C5782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en"/>
              </w:rPr>
            </w:pPr>
            <w:r w:rsidRPr="00C57825">
              <w:rPr>
                <w:rFonts w:asciiTheme="minorHAnsi" w:hAnsiTheme="minorHAnsi"/>
                <w:b/>
                <w:sz w:val="22"/>
                <w:szCs w:val="22"/>
                <w:lang w:val="en"/>
              </w:rPr>
              <w:t>Solve simple addition and subtraction problems using a range of efficient mental and written strategies (ACMNA030)</w:t>
            </w:r>
          </w:p>
          <w:p w14:paraId="2EC70E64" w14:textId="0DB045A0" w:rsidR="009E64D3" w:rsidRPr="009E64D3" w:rsidRDefault="009E64D3" w:rsidP="009E64D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n"/>
              </w:rPr>
            </w:pPr>
            <w:r w:rsidRPr="009E64D3">
              <w:rPr>
                <w:rFonts w:asciiTheme="minorHAnsi" w:hAnsiTheme="minorHAnsi"/>
                <w:sz w:val="18"/>
                <w:szCs w:val="18"/>
                <w:lang w:val="en"/>
              </w:rPr>
              <w:t xml:space="preserve">use and record a range of mental strategies to solve addition and subtraction problems involving two-digit numbers, including: </w:t>
            </w:r>
            <w:r w:rsidRPr="009E64D3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C8BD0A5" wp14:editId="276FF900">
                  <wp:extent cx="154305" cy="154305"/>
                  <wp:effectExtent l="0" t="0" r="0" b="0"/>
                  <wp:docPr id="1" name="Picture 1" descr="C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7FE4AD" w14:textId="76360330" w:rsidR="009E64D3" w:rsidRPr="00C57825" w:rsidRDefault="009E64D3" w:rsidP="00C57825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n"/>
              </w:rPr>
            </w:pPr>
            <w:r w:rsidRPr="00C57825">
              <w:rPr>
                <w:rFonts w:asciiTheme="minorHAnsi" w:hAnsiTheme="minorHAnsi"/>
                <w:sz w:val="18"/>
                <w:szCs w:val="18"/>
                <w:lang w:val="en"/>
              </w:rPr>
              <w:t xml:space="preserve">the jump strategy on an empty </w:t>
            </w:r>
            <w:hyperlink r:id="rId8" w:tgtFrame="_blank" w:tooltip="Click for more information about 'number line'" w:history="1">
              <w:r w:rsidRPr="00C57825">
                <w:rPr>
                  <w:rStyle w:val="Hyperlink"/>
                  <w:rFonts w:asciiTheme="minorHAnsi" w:hAnsiTheme="minorHAnsi"/>
                  <w:sz w:val="18"/>
                  <w:szCs w:val="18"/>
                  <w:lang w:val="en"/>
                </w:rPr>
                <w:t>number line</w:t>
              </w:r>
            </w:hyperlink>
          </w:p>
          <w:p w14:paraId="36748C3A" w14:textId="456511AA" w:rsidR="009E64D3" w:rsidRPr="00C57825" w:rsidRDefault="009E64D3" w:rsidP="00C57825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n"/>
              </w:rPr>
            </w:pPr>
            <w:r w:rsidRPr="00C57825">
              <w:rPr>
                <w:rFonts w:asciiTheme="minorHAnsi" w:hAnsiTheme="minorHAnsi"/>
                <w:sz w:val="18"/>
                <w:szCs w:val="18"/>
                <w:lang w:val="en"/>
              </w:rPr>
              <w:t xml:space="preserve">the split strategy, eg record how the answer to 37 + 45 was obtained using the split strategy </w:t>
            </w:r>
            <w:r w:rsidRPr="00C57825">
              <w:rPr>
                <w:rFonts w:asciiTheme="minorHAnsi" w:hAnsiTheme="minorHAnsi"/>
                <w:sz w:val="18"/>
                <w:szCs w:val="18"/>
                <w:lang w:val="en"/>
              </w:rPr>
              <w:br/>
              <w:t xml:space="preserve">30+40=70 7+5=12 so 70+12=82 </w:t>
            </w:r>
          </w:p>
          <w:p w14:paraId="30345C92" w14:textId="0BC5DA30" w:rsidR="009E64D3" w:rsidRPr="00C57825" w:rsidRDefault="009E64D3" w:rsidP="00C57825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val="en"/>
              </w:rPr>
            </w:pPr>
            <w:r w:rsidRPr="00C57825">
              <w:rPr>
                <w:rFonts w:asciiTheme="minorHAnsi" w:hAnsiTheme="minorHAnsi"/>
                <w:sz w:val="18"/>
                <w:szCs w:val="18"/>
                <w:lang w:val="en"/>
              </w:rPr>
              <w:t>an inverse strategy to change a subtraction into an addition, eg 54 – 38: start at 38, adding 2 makes 40, then adding 10</w:t>
            </w:r>
            <w:r w:rsidRPr="00C57825">
              <w:rPr>
                <w:rFonts w:asciiTheme="minorHAnsi" w:hAnsiTheme="minorHAnsi"/>
                <w:sz w:val="24"/>
                <w:szCs w:val="24"/>
                <w:lang w:val="en"/>
              </w:rPr>
              <w:t xml:space="preserve"> </w:t>
            </w:r>
            <w:r w:rsidRPr="00C57825">
              <w:rPr>
                <w:rFonts w:asciiTheme="minorHAnsi" w:hAnsiTheme="minorHAnsi"/>
                <w:sz w:val="18"/>
                <w:szCs w:val="18"/>
                <w:lang w:val="en"/>
              </w:rPr>
              <w:t>makes 50, then adding 4 makes 54, and so the answer is 2 + 10 + 4 = 16</w:t>
            </w:r>
          </w:p>
          <w:p w14:paraId="3B865F03" w14:textId="77777777" w:rsidR="00CA13F7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2CF7CFC8" w14:textId="77777777" w:rsidR="00CA13F7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1739B6C" w14:textId="77777777"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00220852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90753B" w14:textId="77777777" w:rsidR="00F10A55" w:rsidRDefault="00C57825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TEN Assessment – See attached</w:t>
            </w:r>
          </w:p>
          <w:p w14:paraId="0CC9F641" w14:textId="6A0CF37A" w:rsidR="00C57825" w:rsidRPr="004A4DA4" w:rsidRDefault="00C57825" w:rsidP="00C5782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PLAN data for Early Arithmetical Strategies</w:t>
            </w:r>
          </w:p>
        </w:tc>
      </w:tr>
      <w:tr w:rsidR="005A7343" w:rsidRPr="004A4DA4" w14:paraId="3AC2808E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62EE1473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5E1C1" w14:textId="672F235B" w:rsidR="005A7343" w:rsidRPr="004A4DA4" w:rsidRDefault="000D0715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D0715">
              <w:rPr>
                <w:rFonts w:asciiTheme="minorHAnsi" w:hAnsiTheme="minorHAnsi"/>
                <w:sz w:val="24"/>
                <w:szCs w:val="24"/>
              </w:rPr>
              <w:t>Flash card tens frames. 2 at a time. Explicitly model how to visualise and count on or back from the largest.</w:t>
            </w:r>
          </w:p>
        </w:tc>
      </w:tr>
      <w:tr w:rsidR="005A7343" w:rsidRPr="004A4DA4" w14:paraId="23467F1E" w14:textId="77777777" w:rsidTr="00923B36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24B16303" w:rsidR="005A7343" w:rsidRPr="00C57825" w:rsidRDefault="00C57825" w:rsidP="005D2618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C57825">
              <w:rPr>
                <w:rFonts w:asciiTheme="minorHAnsi" w:hAnsiTheme="minorHAnsi"/>
                <w:b w:val="0"/>
                <w:szCs w:val="24"/>
              </w:rPr>
              <w:t>This program forms the basis of the TENs activities for the week</w:t>
            </w:r>
          </w:p>
        </w:tc>
      </w:tr>
      <w:tr w:rsidR="00081A4D" w:rsidRPr="004A4DA4" w14:paraId="747DA87F" w14:textId="77777777" w:rsidTr="003D09B5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923B36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6E06C5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i/>
                <w:color w:val="000000"/>
                <w:sz w:val="24"/>
                <w:szCs w:val="24"/>
                <w:u w:val="single"/>
              </w:rPr>
            </w:pPr>
            <w:r w:rsidRPr="006E06C5">
              <w:rPr>
                <w:rFonts w:asciiTheme="minorHAnsi" w:eastAsiaTheme="minorHAnsi" w:hAnsiTheme="minorHAnsi" w:cs="Verdana"/>
                <w:i/>
                <w:color w:val="231F20"/>
                <w:sz w:val="24"/>
                <w:szCs w:val="24"/>
                <w:u w:val="single"/>
              </w:rPr>
              <w:t>Highe</w:t>
            </w:r>
            <w:r w:rsidRPr="006E06C5">
              <w:rPr>
                <w:rFonts w:asciiTheme="minorHAnsi" w:eastAsiaTheme="minorHAnsi" w:hAnsiTheme="minorHAnsi" w:cs="Verdana"/>
                <w:i/>
                <w:color w:val="231F20"/>
                <w:spacing w:val="-2"/>
                <w:sz w:val="24"/>
                <w:szCs w:val="24"/>
                <w:u w:val="single"/>
              </w:rPr>
              <w:t>r</w:t>
            </w:r>
            <w:r w:rsidRPr="006E06C5">
              <w:rPr>
                <w:rFonts w:asciiTheme="minorHAnsi" w:eastAsiaTheme="minorHAnsi" w:hAnsiTheme="minorHAnsi" w:cs="Verdana"/>
                <w:i/>
                <w:color w:val="231F20"/>
                <w:sz w:val="24"/>
                <w:szCs w:val="24"/>
                <w:u w:val="single"/>
              </w:rPr>
              <w:t>-order</w:t>
            </w:r>
            <w:r w:rsidRPr="006E06C5">
              <w:rPr>
                <w:rFonts w:asciiTheme="minorHAnsi" w:eastAsiaTheme="minorHAnsi" w:hAnsiTheme="minorHAnsi" w:cs="Verdana"/>
                <w:i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 w:rsidRPr="006E06C5">
              <w:rPr>
                <w:rFonts w:asciiTheme="minorHAnsi" w:eastAsiaTheme="minorHAnsi" w:hAnsiTheme="minorHAnsi" w:cs="Verdana"/>
                <w:i/>
                <w:color w:val="231F20"/>
                <w:sz w:val="24"/>
                <w:szCs w:val="24"/>
                <w:u w:val="single"/>
              </w:rPr>
              <w:t>thinking</w:t>
            </w:r>
          </w:p>
          <w:p w14:paraId="1E10833E" w14:textId="6A25004B" w:rsidR="00081A4D" w:rsidRPr="006E06C5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i/>
                <w:color w:val="000000"/>
                <w:sz w:val="24"/>
                <w:szCs w:val="24"/>
                <w:u w:val="single"/>
              </w:rPr>
            </w:pPr>
            <w:r w:rsidRPr="006E06C5">
              <w:rPr>
                <w:rFonts w:asciiTheme="minorHAnsi" w:eastAsiaTheme="minorHAnsi" w:hAnsiTheme="minorHAnsi" w:cs="Verdana"/>
                <w:i/>
                <w:color w:val="231F20"/>
                <w:sz w:val="24"/>
                <w:szCs w:val="24"/>
                <w:u w:val="single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6E06C5">
              <w:rPr>
                <w:rFonts w:asciiTheme="minorHAnsi" w:eastAsiaTheme="minorHAnsi" w:hAnsiTheme="minorHAnsi" w:cs="Verdana"/>
                <w:i/>
                <w:color w:val="231F20"/>
                <w:sz w:val="24"/>
                <w:szCs w:val="24"/>
                <w:u w:val="single"/>
              </w:rPr>
              <w:t>Substanti</w:t>
            </w:r>
            <w:r w:rsidRPr="006E06C5">
              <w:rPr>
                <w:rFonts w:asciiTheme="minorHAnsi" w:eastAsiaTheme="minorHAnsi" w:hAnsiTheme="minorHAnsi" w:cs="Verdana"/>
                <w:i/>
                <w:color w:val="231F20"/>
                <w:spacing w:val="-2"/>
                <w:sz w:val="24"/>
                <w:szCs w:val="24"/>
                <w:u w:val="single"/>
              </w:rPr>
              <w:t>v</w:t>
            </w:r>
            <w:r w:rsidRPr="006E06C5">
              <w:rPr>
                <w:rFonts w:asciiTheme="minorHAnsi" w:eastAsiaTheme="minorHAnsi" w:hAnsiTheme="minorHAnsi" w:cs="Verdana"/>
                <w:i/>
                <w:color w:val="231F20"/>
                <w:sz w:val="24"/>
                <w:szCs w:val="24"/>
                <w:u w:val="single"/>
              </w:rPr>
              <w:t>e</w:t>
            </w:r>
            <w:r w:rsidRPr="006E06C5">
              <w:rPr>
                <w:rFonts w:asciiTheme="minorHAnsi" w:eastAsiaTheme="minorHAnsi" w:hAnsiTheme="minorHAnsi" w:cs="Verdana"/>
                <w:i/>
                <w:color w:val="231F20"/>
                <w:spacing w:val="-26"/>
                <w:sz w:val="24"/>
                <w:szCs w:val="24"/>
                <w:u w:val="single"/>
              </w:rPr>
              <w:t xml:space="preserve"> </w:t>
            </w:r>
            <w:r w:rsidRPr="006E06C5">
              <w:rPr>
                <w:rFonts w:asciiTheme="minorHAnsi" w:eastAsiaTheme="minorHAnsi" w:hAnsiTheme="minorHAnsi" w:cs="Verdana"/>
                <w:i/>
                <w:color w:val="231F20"/>
                <w:sz w:val="24"/>
                <w:szCs w:val="24"/>
                <w:u w:val="single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3BA38066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0A81AC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2BBD2C9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F355EA">
        <w:trPr>
          <w:trHeight w:hRule="exact" w:val="859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00E7D5D1" w:rsidR="000D0715" w:rsidRPr="004A4DA4" w:rsidRDefault="000D0715" w:rsidP="000D0715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Dotted tens frames, Double sided counters, whiteboards, markers, blank tens frames</w:t>
            </w:r>
          </w:p>
        </w:tc>
      </w:tr>
    </w:tbl>
    <w:p w14:paraId="49C62B16" w14:textId="5484FCE2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72D2E6EA" w14:textId="77777777" w:rsidR="000D0715" w:rsidRDefault="000D0715" w:rsidP="000D0715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b/>
                <w:i/>
                <w:color w:val="231F20"/>
              </w:rPr>
              <w:t xml:space="preserve">Kindergarten: </w:t>
            </w:r>
            <w:r>
              <w:rPr>
                <w:rFonts w:ascii="Arial" w:hAnsi="Arial" w:cs="Arial"/>
                <w:color w:val="231F20"/>
              </w:rPr>
              <w:t>Hold up dotted tens frames and ask students to count what they can see. Model counting the top row and then the bottom.</w:t>
            </w:r>
          </w:p>
          <w:p w14:paraId="38601DA3" w14:textId="77777777" w:rsidR="000D0715" w:rsidRDefault="000D0715" w:rsidP="000D0715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ascii="Arial" w:hAnsi="Arial" w:cs="Arial"/>
                <w:color w:val="231F20"/>
              </w:rPr>
            </w:pPr>
          </w:p>
          <w:p w14:paraId="1FF19339" w14:textId="77777777" w:rsidR="000D0715" w:rsidRDefault="000D0715" w:rsidP="000D0715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b/>
                <w:i/>
                <w:color w:val="231F20"/>
              </w:rPr>
              <w:t>Year 1:</w:t>
            </w:r>
            <w:r>
              <w:rPr>
                <w:rFonts w:ascii="Arial" w:hAnsi="Arial" w:cs="Arial"/>
                <w:color w:val="231F20"/>
              </w:rPr>
              <w:t xml:space="preserve"> Flash card tens frames. Explicitly demonstrate visualising what was seen as it is only a quick flash.</w:t>
            </w:r>
          </w:p>
          <w:p w14:paraId="5A5DD11A" w14:textId="77777777" w:rsidR="000D0715" w:rsidRDefault="000D0715" w:rsidP="000D0715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ascii="Arial" w:hAnsi="Arial" w:cs="Arial"/>
                <w:color w:val="231F20"/>
              </w:rPr>
            </w:pPr>
          </w:p>
          <w:p w14:paraId="11A9C10F" w14:textId="77777777" w:rsidR="000D0715" w:rsidRDefault="000D0715" w:rsidP="000D0715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b/>
                <w:i/>
                <w:color w:val="231F20"/>
              </w:rPr>
              <w:t>Year 2</w:t>
            </w:r>
            <w:r>
              <w:rPr>
                <w:rFonts w:ascii="Arial" w:hAnsi="Arial" w:cs="Arial"/>
                <w:color w:val="231F20"/>
              </w:rPr>
              <w:t>: Flash card tens frames. 2 at a time. Explicitly model how to visualise and count on or back from the largest.</w:t>
            </w:r>
          </w:p>
          <w:p w14:paraId="0595B3CA" w14:textId="103D3E8F" w:rsidR="00A31C0E" w:rsidRPr="00A31C0E" w:rsidRDefault="00A31C0E" w:rsidP="000D0715">
            <w:pPr>
              <w:rPr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7999D8D1" w:rsidR="001C6A19" w:rsidRPr="004A4DA4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1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224EC625" w14:textId="77777777" w:rsidR="001C6A19" w:rsidRPr="006E06C5" w:rsidRDefault="00F355EA" w:rsidP="005D2618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6E06C5">
              <w:rPr>
                <w:rFonts w:asciiTheme="minorHAnsi" w:hAnsiTheme="minorHAnsi"/>
                <w:i/>
                <w:sz w:val="24"/>
                <w:szCs w:val="24"/>
              </w:rPr>
              <w:t>Perceptual/Figurative</w:t>
            </w:r>
          </w:p>
          <w:p w14:paraId="5004396E" w14:textId="77777777" w:rsidR="000D0715" w:rsidRPr="000D0715" w:rsidRDefault="000D0715" w:rsidP="000D0715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Arial" w:hAnsi="Arial" w:cs="Arial"/>
                <w:color w:val="231F20"/>
                <w:lang w:eastAsia="en-AU"/>
              </w:rPr>
            </w:pPr>
            <w:r w:rsidRPr="000D0715">
              <w:rPr>
                <w:rFonts w:ascii="Arial" w:hAnsi="Arial" w:cs="Arial"/>
                <w:color w:val="231F20"/>
                <w:lang w:eastAsia="en-AU"/>
              </w:rPr>
              <w:t>Shake rattle and drop 10 counters. Place counters on a ten frame. Discuss: How many red counters? How many yellow counters? How many altogether?</w:t>
            </w:r>
          </w:p>
          <w:p w14:paraId="4D1C0F5F" w14:textId="77777777" w:rsidR="000D0715" w:rsidRPr="000D0715" w:rsidRDefault="000D0715" w:rsidP="000D0715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Arial" w:hAnsi="Arial" w:cs="Arial"/>
                <w:b/>
                <w:color w:val="231F20"/>
                <w:u w:val="single"/>
                <w:lang w:eastAsia="en-AU"/>
              </w:rPr>
            </w:pPr>
            <w:r w:rsidRPr="000D0715">
              <w:rPr>
                <w:rFonts w:ascii="Arial" w:hAnsi="Arial" w:cs="Arial"/>
                <w:b/>
                <w:color w:val="231F20"/>
                <w:u w:val="single"/>
                <w:lang w:eastAsia="en-AU"/>
              </w:rPr>
              <w:t>Teaching point</w:t>
            </w:r>
          </w:p>
          <w:p w14:paraId="48868441" w14:textId="77777777" w:rsidR="000D0715" w:rsidRPr="000D0715" w:rsidRDefault="000D0715" w:rsidP="000D0715">
            <w:pPr>
              <w:autoSpaceDE w:val="0"/>
              <w:autoSpaceDN w:val="0"/>
              <w:adjustRightInd w:val="0"/>
              <w:spacing w:before="60" w:after="40" w:line="276" w:lineRule="auto"/>
              <w:rPr>
                <w:rFonts w:ascii="Arial" w:hAnsi="Arial" w:cs="Arial"/>
                <w:color w:val="231F20"/>
                <w:lang w:eastAsia="en-AU"/>
              </w:rPr>
            </w:pPr>
            <w:r w:rsidRPr="000D0715">
              <w:rPr>
                <w:rFonts w:ascii="Arial" w:hAnsi="Arial" w:cs="Arial"/>
                <w:color w:val="231F20"/>
                <w:lang w:eastAsia="en-AU"/>
              </w:rPr>
              <w:t>Counting  groups and use the word ALTOGETHER</w:t>
            </w:r>
          </w:p>
          <w:p w14:paraId="19DB8B04" w14:textId="6B8C9C29" w:rsidR="006E06C5" w:rsidRPr="004A4DA4" w:rsidRDefault="000D0715" w:rsidP="000D0715">
            <w:pPr>
              <w:rPr>
                <w:rFonts w:asciiTheme="minorHAnsi" w:hAnsiTheme="minorHAnsi"/>
                <w:sz w:val="24"/>
                <w:szCs w:val="24"/>
              </w:rPr>
            </w:pPr>
            <w:r w:rsidRPr="000D0715">
              <w:rPr>
                <w:rFonts w:ascii="Arial" w:hAnsi="Arial" w:cs="Arial"/>
                <w:color w:val="231F20"/>
                <w:lang w:eastAsia="en-AU"/>
              </w:rPr>
              <w:t>e.g There are 3 red counters and 7 yellow counters . There are 10 altogether.</w:t>
            </w: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2CFA3724" w:rsidR="001C6A19" w:rsidRPr="004A4DA4" w:rsidRDefault="00932461" w:rsidP="00E6053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E6053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639" w:type="dxa"/>
          </w:tcPr>
          <w:p w14:paraId="5918DA1C" w14:textId="71E09BE8" w:rsidR="001C6A19" w:rsidRPr="00A31C0E" w:rsidRDefault="00F355EA" w:rsidP="00520774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31C0E">
              <w:rPr>
                <w:rFonts w:asciiTheme="minorHAnsi" w:hAnsiTheme="minorHAnsi"/>
                <w:i/>
                <w:sz w:val="24"/>
                <w:szCs w:val="24"/>
              </w:rPr>
              <w:t>Counting On and Back</w:t>
            </w:r>
          </w:p>
          <w:p w14:paraId="0F4E9441" w14:textId="77777777" w:rsidR="000D0715" w:rsidRPr="000D0715" w:rsidRDefault="000D0715" w:rsidP="000D0715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lang w:eastAsia="en-AU"/>
              </w:rPr>
            </w:pPr>
            <w:r w:rsidRPr="000D0715">
              <w:rPr>
                <w:rFonts w:ascii="Arial" w:hAnsi="Arial" w:cs="Arial"/>
                <w:lang w:eastAsia="en-AU"/>
              </w:rPr>
              <w:t>One partner shakes rattles and drops 10 counters whilst the other closes their eyes. He/she then covers one colour. Student opens eyes and “counts on” to find missing addend.</w:t>
            </w:r>
          </w:p>
          <w:p w14:paraId="549A3397" w14:textId="77777777" w:rsidR="000D0715" w:rsidRPr="000D0715" w:rsidRDefault="000D0715" w:rsidP="000D0715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lang w:eastAsia="en-AU"/>
              </w:rPr>
            </w:pPr>
            <w:r w:rsidRPr="000D0715">
              <w:rPr>
                <w:rFonts w:ascii="Arial" w:hAnsi="Arial" w:cs="Arial"/>
                <w:lang w:eastAsia="en-AU"/>
              </w:rPr>
              <w:t>Record missing addend on whiteboard.</w:t>
            </w:r>
          </w:p>
          <w:p w14:paraId="0AA8F8FF" w14:textId="77777777" w:rsidR="000D0715" w:rsidRDefault="000D0715" w:rsidP="000D0715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/>
                <w:u w:val="single"/>
                <w:lang w:eastAsia="en-AU"/>
              </w:rPr>
            </w:pPr>
          </w:p>
          <w:p w14:paraId="3ABA079D" w14:textId="77777777" w:rsidR="000D0715" w:rsidRPr="000D0715" w:rsidRDefault="000D0715" w:rsidP="000D0715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/>
                <w:u w:val="single"/>
                <w:lang w:eastAsia="en-AU"/>
              </w:rPr>
            </w:pPr>
            <w:r w:rsidRPr="000D0715">
              <w:rPr>
                <w:rFonts w:ascii="Arial" w:hAnsi="Arial" w:cs="Arial"/>
                <w:b/>
                <w:u w:val="single"/>
                <w:lang w:eastAsia="en-AU"/>
              </w:rPr>
              <w:t>Teaching Point</w:t>
            </w:r>
          </w:p>
          <w:p w14:paraId="0DC2F11F" w14:textId="77777777" w:rsidR="000D0715" w:rsidRPr="000D0715" w:rsidRDefault="000D0715" w:rsidP="000D0715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lang w:eastAsia="en-AU"/>
              </w:rPr>
            </w:pPr>
            <w:r w:rsidRPr="000D0715">
              <w:rPr>
                <w:rFonts w:ascii="Arial" w:hAnsi="Arial" w:cs="Arial"/>
                <w:lang w:eastAsia="en-AU"/>
              </w:rPr>
              <w:t>Count on from a number to find missing addend.</w:t>
            </w:r>
          </w:p>
          <w:p w14:paraId="7F63659B" w14:textId="79833E1C" w:rsidR="00F355EA" w:rsidRPr="004A4DA4" w:rsidRDefault="00F355EA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297D622C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5F04D33" w:rsidR="001C6A19" w:rsidRPr="004A4DA4" w:rsidRDefault="00373C06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 w:rsidR="00E6053A"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9639" w:type="dxa"/>
          </w:tcPr>
          <w:p w14:paraId="019DF4A1" w14:textId="3B8AC081" w:rsidR="001C6A19" w:rsidRPr="006E06C5" w:rsidRDefault="00F355EA" w:rsidP="00520774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6E06C5">
              <w:rPr>
                <w:rFonts w:asciiTheme="minorHAnsi" w:hAnsiTheme="minorHAnsi"/>
                <w:i/>
                <w:sz w:val="24"/>
                <w:szCs w:val="24"/>
              </w:rPr>
              <w:t>Facile</w:t>
            </w:r>
          </w:p>
          <w:p w14:paraId="195940B0" w14:textId="77777777" w:rsidR="000D0715" w:rsidRPr="000D0715" w:rsidRDefault="000D0715" w:rsidP="000D0715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lang w:eastAsia="en-AU"/>
              </w:rPr>
            </w:pPr>
            <w:r w:rsidRPr="000D0715">
              <w:rPr>
                <w:rFonts w:ascii="Arial" w:hAnsi="Arial" w:cs="Arial"/>
                <w:lang w:eastAsia="en-AU"/>
              </w:rPr>
              <w:t>One partner shakes rattles and drops 20 counters whilst the other closes their eyes. He/she then covers one colour. Student opens eyes and uses knowledge of friends of 20 to find missing addend.</w:t>
            </w:r>
          </w:p>
          <w:p w14:paraId="10134E65" w14:textId="77777777" w:rsidR="000D0715" w:rsidRPr="000D0715" w:rsidRDefault="000D0715" w:rsidP="000D0715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lang w:eastAsia="en-AU"/>
              </w:rPr>
            </w:pPr>
            <w:r w:rsidRPr="000D0715">
              <w:rPr>
                <w:rFonts w:ascii="Arial" w:hAnsi="Arial" w:cs="Arial"/>
                <w:lang w:eastAsia="en-AU"/>
              </w:rPr>
              <w:t xml:space="preserve">Record missing addend on whiteboard. </w:t>
            </w:r>
          </w:p>
          <w:p w14:paraId="1B1DAF16" w14:textId="77777777" w:rsidR="000D0715" w:rsidRDefault="000D0715" w:rsidP="000D0715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/>
                <w:u w:val="single"/>
                <w:lang w:eastAsia="en-AU"/>
              </w:rPr>
            </w:pPr>
          </w:p>
          <w:p w14:paraId="4FB343D8" w14:textId="77777777" w:rsidR="000D0715" w:rsidRPr="000D0715" w:rsidRDefault="000D0715" w:rsidP="000D0715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/>
                <w:u w:val="single"/>
                <w:lang w:eastAsia="en-AU"/>
              </w:rPr>
            </w:pPr>
            <w:r w:rsidRPr="000D0715">
              <w:rPr>
                <w:rFonts w:ascii="Arial" w:hAnsi="Arial" w:cs="Arial"/>
                <w:b/>
                <w:u w:val="single"/>
                <w:lang w:eastAsia="en-AU"/>
              </w:rPr>
              <w:t xml:space="preserve">Teaching Point </w:t>
            </w:r>
          </w:p>
          <w:p w14:paraId="2B3E966D" w14:textId="77777777" w:rsidR="000D0715" w:rsidRPr="000D0715" w:rsidRDefault="000D0715" w:rsidP="000D0715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lang w:eastAsia="en-AU"/>
              </w:rPr>
            </w:pPr>
            <w:r w:rsidRPr="000D0715">
              <w:rPr>
                <w:rFonts w:ascii="Arial" w:hAnsi="Arial" w:cs="Arial"/>
                <w:lang w:eastAsia="en-AU"/>
              </w:rPr>
              <w:t>Using combinations to 20</w:t>
            </w:r>
          </w:p>
          <w:p w14:paraId="17B7C6D4" w14:textId="3AF2A1E5" w:rsidR="001C6A19" w:rsidRPr="004A4DA4" w:rsidRDefault="001C6A19" w:rsidP="006E06C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1AF45CEC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F217419" w14:textId="48A5D92C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083754">
        <w:rPr>
          <w:rFonts w:asciiTheme="minorHAnsi" w:hAnsiTheme="minorHAnsi"/>
          <w:sz w:val="24"/>
          <w:szCs w:val="24"/>
        </w:rPr>
        <w:t>.</w:t>
      </w:r>
    </w:p>
    <w:p w14:paraId="416FCCCE" w14:textId="1D8951C4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083754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83DDE"/>
    <w:multiLevelType w:val="hybridMultilevel"/>
    <w:tmpl w:val="3AECE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FE824C9"/>
    <w:multiLevelType w:val="multilevel"/>
    <w:tmpl w:val="E446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DB10D4"/>
    <w:multiLevelType w:val="multilevel"/>
    <w:tmpl w:val="224A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061E5"/>
    <w:multiLevelType w:val="multilevel"/>
    <w:tmpl w:val="9980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21"/>
  </w:num>
  <w:num w:numId="9">
    <w:abstractNumId w:val="9"/>
  </w:num>
  <w:num w:numId="10">
    <w:abstractNumId w:val="14"/>
  </w:num>
  <w:num w:numId="11">
    <w:abstractNumId w:val="8"/>
  </w:num>
  <w:num w:numId="12">
    <w:abstractNumId w:val="20"/>
  </w:num>
  <w:num w:numId="13">
    <w:abstractNumId w:val="5"/>
  </w:num>
  <w:num w:numId="14">
    <w:abstractNumId w:val="2"/>
  </w:num>
  <w:num w:numId="15">
    <w:abstractNumId w:val="11"/>
  </w:num>
  <w:num w:numId="16">
    <w:abstractNumId w:val="4"/>
  </w:num>
  <w:num w:numId="17">
    <w:abstractNumId w:val="7"/>
  </w:num>
  <w:num w:numId="18">
    <w:abstractNumId w:val="19"/>
  </w:num>
  <w:num w:numId="19">
    <w:abstractNumId w:val="18"/>
  </w:num>
  <w:num w:numId="20">
    <w:abstractNumId w:val="16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83754"/>
    <w:rsid w:val="000A54BD"/>
    <w:rsid w:val="000D0715"/>
    <w:rsid w:val="0010795F"/>
    <w:rsid w:val="00116C60"/>
    <w:rsid w:val="001357A6"/>
    <w:rsid w:val="001451A1"/>
    <w:rsid w:val="001717B7"/>
    <w:rsid w:val="001B7956"/>
    <w:rsid w:val="001C6A19"/>
    <w:rsid w:val="001F0A11"/>
    <w:rsid w:val="00210AB9"/>
    <w:rsid w:val="00210BA1"/>
    <w:rsid w:val="0022220D"/>
    <w:rsid w:val="00262977"/>
    <w:rsid w:val="00263100"/>
    <w:rsid w:val="002650AE"/>
    <w:rsid w:val="002A32F4"/>
    <w:rsid w:val="002B3979"/>
    <w:rsid w:val="002E2AC1"/>
    <w:rsid w:val="00373C06"/>
    <w:rsid w:val="003D09B5"/>
    <w:rsid w:val="003F5FE9"/>
    <w:rsid w:val="00403F6E"/>
    <w:rsid w:val="00443B37"/>
    <w:rsid w:val="0045686F"/>
    <w:rsid w:val="00486C58"/>
    <w:rsid w:val="004A4DA4"/>
    <w:rsid w:val="004B2453"/>
    <w:rsid w:val="004B76C4"/>
    <w:rsid w:val="004D1266"/>
    <w:rsid w:val="00503370"/>
    <w:rsid w:val="00520774"/>
    <w:rsid w:val="00521B3A"/>
    <w:rsid w:val="0053162C"/>
    <w:rsid w:val="0057006E"/>
    <w:rsid w:val="00571856"/>
    <w:rsid w:val="00571ECB"/>
    <w:rsid w:val="00575B6D"/>
    <w:rsid w:val="005A4F93"/>
    <w:rsid w:val="005A7343"/>
    <w:rsid w:val="005D2618"/>
    <w:rsid w:val="00620F13"/>
    <w:rsid w:val="00633BA7"/>
    <w:rsid w:val="006466C1"/>
    <w:rsid w:val="00691A0B"/>
    <w:rsid w:val="006D1864"/>
    <w:rsid w:val="006E06C5"/>
    <w:rsid w:val="006E7517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C7B62"/>
    <w:rsid w:val="008D520D"/>
    <w:rsid w:val="008F4588"/>
    <w:rsid w:val="009138EC"/>
    <w:rsid w:val="00920520"/>
    <w:rsid w:val="00923B36"/>
    <w:rsid w:val="00925DF8"/>
    <w:rsid w:val="00932461"/>
    <w:rsid w:val="00932E16"/>
    <w:rsid w:val="00961AC9"/>
    <w:rsid w:val="00977E43"/>
    <w:rsid w:val="009D4458"/>
    <w:rsid w:val="009E64D3"/>
    <w:rsid w:val="009F49B9"/>
    <w:rsid w:val="009F6542"/>
    <w:rsid w:val="00A11BAA"/>
    <w:rsid w:val="00A31C0E"/>
    <w:rsid w:val="00A96550"/>
    <w:rsid w:val="00AA36FD"/>
    <w:rsid w:val="00AA7C36"/>
    <w:rsid w:val="00AB5CAF"/>
    <w:rsid w:val="00AC10DF"/>
    <w:rsid w:val="00AD2470"/>
    <w:rsid w:val="00B030A8"/>
    <w:rsid w:val="00B4193E"/>
    <w:rsid w:val="00B54A6D"/>
    <w:rsid w:val="00B63786"/>
    <w:rsid w:val="00B700CD"/>
    <w:rsid w:val="00B73124"/>
    <w:rsid w:val="00BA6310"/>
    <w:rsid w:val="00BC43B0"/>
    <w:rsid w:val="00BD33F5"/>
    <w:rsid w:val="00BF49F1"/>
    <w:rsid w:val="00C4146A"/>
    <w:rsid w:val="00C42F08"/>
    <w:rsid w:val="00C57825"/>
    <w:rsid w:val="00C660B3"/>
    <w:rsid w:val="00C7475F"/>
    <w:rsid w:val="00C76826"/>
    <w:rsid w:val="00C909B1"/>
    <w:rsid w:val="00CA13F7"/>
    <w:rsid w:val="00CB2AF4"/>
    <w:rsid w:val="00CC5D42"/>
    <w:rsid w:val="00D01B42"/>
    <w:rsid w:val="00D36387"/>
    <w:rsid w:val="00D41A1D"/>
    <w:rsid w:val="00D45271"/>
    <w:rsid w:val="00D67175"/>
    <w:rsid w:val="00D67D2E"/>
    <w:rsid w:val="00DB3CCB"/>
    <w:rsid w:val="00DF47F3"/>
    <w:rsid w:val="00DF7960"/>
    <w:rsid w:val="00E1733F"/>
    <w:rsid w:val="00E202DD"/>
    <w:rsid w:val="00E40A2A"/>
    <w:rsid w:val="00E4494B"/>
    <w:rsid w:val="00E6053A"/>
    <w:rsid w:val="00E84467"/>
    <w:rsid w:val="00EB1737"/>
    <w:rsid w:val="00ED18F4"/>
    <w:rsid w:val="00EE7DFF"/>
    <w:rsid w:val="00F0294E"/>
    <w:rsid w:val="00F10A55"/>
    <w:rsid w:val="00F355EA"/>
    <w:rsid w:val="00F46276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927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463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llabus.bos.nsw.edu.au/glossary/mat/number-line/?aja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4A6F-2003-4795-843A-9BF56BB2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Robertson, Corinna</cp:lastModifiedBy>
  <cp:revision>2</cp:revision>
  <cp:lastPrinted>2014-07-20T22:32:00Z</cp:lastPrinted>
  <dcterms:created xsi:type="dcterms:W3CDTF">2015-03-05T23:41:00Z</dcterms:created>
  <dcterms:modified xsi:type="dcterms:W3CDTF">2015-03-05T23:41:00Z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