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6D3B2BA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B5BEE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0202BD" w14:textId="77777777" w:rsidR="000B5BEE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3EE7FE5C" w14:textId="222FB6FF" w:rsidR="00D41A1D" w:rsidRPr="00CA13F7" w:rsidRDefault="000B5BEE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0B5BEE">
              <w:rPr>
                <w:rFonts w:asciiTheme="minorHAnsi" w:hAnsiTheme="minorHAnsi"/>
                <w:b w:val="0"/>
                <w:szCs w:val="24"/>
              </w:rPr>
              <w:t>Numbers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F1D7B6" w14:textId="77777777" w:rsidR="000B5BE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52ED33C3" w:rsidR="00D41A1D" w:rsidRPr="00923B36" w:rsidRDefault="000B5BEE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Addition and Subtraction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8C202B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69BADFB2" w:rsidR="000B5BEE" w:rsidRPr="00923B36" w:rsidRDefault="000B5BEE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 MA1-2WM  MA1-3WM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34899B0" w:rsidR="00CA13F7" w:rsidRPr="000B5BEE" w:rsidRDefault="00CA13F7" w:rsidP="002B3979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0B5BEE">
              <w:rPr>
                <w:rFonts w:asciiTheme="minorHAnsi" w:hAnsiTheme="minorHAnsi"/>
                <w:szCs w:val="24"/>
              </w:rPr>
              <w:t xml:space="preserve"> </w:t>
            </w:r>
            <w:r w:rsidR="000B5BEE">
              <w:rPr>
                <w:rFonts w:asciiTheme="minorHAnsi" w:hAnsiTheme="minorHAnsi"/>
                <w:b w:val="0"/>
                <w:szCs w:val="24"/>
              </w:rPr>
              <w:t>MA1-5NA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50C45374" w:rsidR="00CA13F7" w:rsidRPr="000B5BEE" w:rsidRDefault="00C76826" w:rsidP="00923B3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B5BEE">
              <w:rPr>
                <w:rFonts w:asciiTheme="minorHAnsi" w:hAnsiTheme="minorHAnsi"/>
                <w:sz w:val="24"/>
                <w:szCs w:val="24"/>
              </w:rPr>
              <w:t>Uses a range of strategies and informal recording methods for addition and subtraction involving 1 &amp; 2 digit numbers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16C277D0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  <w:r w:rsidR="000B5BEE" w:rsidRPr="000B5BEE">
              <w:rPr>
                <w:rFonts w:asciiTheme="minorHAnsi" w:hAnsiTheme="minorHAnsi"/>
                <w:sz w:val="24"/>
                <w:szCs w:val="24"/>
              </w:rPr>
              <w:t>ACMNA030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3D7B24E7" w:rsidR="00CA13F7" w:rsidRDefault="000B5BE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Select and use a range of strategies to solve addition and subtraction problems involving 1 &amp; 2 digit numbers</w:t>
            </w:r>
          </w:p>
          <w:p w14:paraId="2CF7CFC8" w14:textId="4D88CAE2" w:rsidR="00CA13F7" w:rsidRDefault="000B5BEE" w:rsidP="000B5BE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check solutions using a different strategy</w:t>
            </w:r>
          </w:p>
          <w:p w14:paraId="649F77E8" w14:textId="77777777" w:rsidR="000B5BEE" w:rsidRDefault="000B5BEE" w:rsidP="000B5BE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which strategies are more efficient and explain why</w:t>
            </w:r>
          </w:p>
          <w:p w14:paraId="13DC10E1" w14:textId="7DA5556F" w:rsidR="000B5BEE" w:rsidRPr="000B5BEE" w:rsidRDefault="000B5BEE" w:rsidP="000B5BE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explain or demonstrate how an answer was obtained for addition and subtraction problems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7C8033DE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20DC30" w14:textId="14058BBA" w:rsidR="00F10A55" w:rsidRDefault="0031429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Sena 1 &amp; 2</w:t>
            </w:r>
            <w:r w:rsidR="000E77B0">
              <w:rPr>
                <w:rFonts w:asciiTheme="minorHAnsi" w:hAnsiTheme="minorHAnsi"/>
                <w:sz w:val="24"/>
                <w:szCs w:val="24"/>
              </w:rPr>
              <w:t xml:space="preserve">     TENS assessment</w:t>
            </w:r>
          </w:p>
          <w:p w14:paraId="53A58FD6" w14:textId="77777777" w:rsidR="0031429D" w:rsidRDefault="0031429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Questions requiring student to demonstrate knowledge of friends of 10 and 20 as able </w:t>
            </w:r>
          </w:p>
          <w:p w14:paraId="0CC9F641" w14:textId="5376F657" w:rsidR="0031429D" w:rsidRPr="004A4DA4" w:rsidRDefault="0031429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Classroom observation and anecdotal notes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18BF2E4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CFD00" w14:textId="77777777" w:rsidR="005A7343" w:rsidRDefault="0031429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“How did you do it?” Write addition or subtraction questions on board and ask students to share how they worked it out</w:t>
            </w:r>
          </w:p>
          <w:p w14:paraId="370D370C" w14:textId="77777777" w:rsidR="0031429D" w:rsidRDefault="0031429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3555E1C1" w14:textId="6391D440" w:rsidR="0031429D" w:rsidRPr="004A4DA4" w:rsidRDefault="0031429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“The answer is ____What is the question?”  Write a number on the board and students generate questions to match the answer using addition or subtraction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46C2B7AD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0AE3EDA" w14:textId="77777777" w:rsidR="005A7343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  <w:p w14:paraId="7971F164" w14:textId="0E4045A3" w:rsidR="003E36F0" w:rsidRPr="003E36F0" w:rsidRDefault="003E36F0" w:rsidP="003E36F0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The learning activities described form the basis of the TENS program for the week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2577494F" w:rsidR="00081A4D" w:rsidRPr="004A4DA4" w:rsidRDefault="00A2589D" w:rsidP="00295D9C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Decks of cards – numerals 1-30 in both red and black; unifix cubes; 100’s charts </w:t>
            </w:r>
            <w:r w:rsidR="00295D9C">
              <w:rPr>
                <w:rFonts w:asciiTheme="minorHAnsi" w:hAnsiTheme="minorHAnsi"/>
                <w:sz w:val="24"/>
                <w:szCs w:val="24"/>
              </w:rPr>
              <w:t>for students</w:t>
            </w:r>
            <w:r>
              <w:rPr>
                <w:rFonts w:asciiTheme="minorHAnsi" w:hAnsiTheme="minorHAnsi"/>
                <w:sz w:val="24"/>
                <w:szCs w:val="24"/>
              </w:rPr>
              <w:t>; counters</w:t>
            </w:r>
            <w:r w:rsidR="00295D9C">
              <w:rPr>
                <w:rFonts w:asciiTheme="minorHAnsi" w:hAnsiTheme="minorHAnsi"/>
                <w:sz w:val="24"/>
                <w:szCs w:val="24"/>
              </w:rPr>
              <w:t>;100’s chart on  IWB; large whiteboard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235A23E" w14:textId="08378626" w:rsidR="001C6A19" w:rsidRDefault="00997114" w:rsidP="00BA6310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997114">
              <w:rPr>
                <w:rFonts w:asciiTheme="minorHAnsi" w:hAnsiTheme="minorHAnsi"/>
                <w:b w:val="0"/>
                <w:szCs w:val="24"/>
              </w:rPr>
              <w:t>Model use of the 100’s chart</w:t>
            </w:r>
            <w:r w:rsidR="0079131F">
              <w:rPr>
                <w:rFonts w:asciiTheme="minorHAnsi" w:hAnsiTheme="minorHAnsi"/>
                <w:b w:val="0"/>
                <w:szCs w:val="24"/>
              </w:rPr>
              <w:t xml:space="preserve"> for addition</w:t>
            </w:r>
            <w:r w:rsidR="00295D9C">
              <w:rPr>
                <w:rFonts w:asciiTheme="minorHAnsi" w:hAnsiTheme="minorHAnsi"/>
                <w:b w:val="0"/>
                <w:szCs w:val="24"/>
              </w:rPr>
              <w:t xml:space="preserve"> on the IWB</w:t>
            </w:r>
            <w:r>
              <w:rPr>
                <w:rFonts w:asciiTheme="minorHAnsi" w:hAnsiTheme="minorHAnsi"/>
                <w:b w:val="0"/>
                <w:szCs w:val="24"/>
              </w:rPr>
              <w:t>.</w:t>
            </w:r>
            <w:r w:rsidR="00906825">
              <w:rPr>
                <w:rFonts w:asciiTheme="minorHAnsi" w:hAnsiTheme="minorHAnsi"/>
                <w:b w:val="0"/>
                <w:szCs w:val="24"/>
              </w:rPr>
              <w:t xml:space="preserve">  Start with 2 single digit numbers and ask students to solve.  Encourage use of different </w:t>
            </w:r>
            <w:r w:rsidR="00A302BC">
              <w:rPr>
                <w:rFonts w:asciiTheme="minorHAnsi" w:hAnsiTheme="minorHAnsi"/>
                <w:b w:val="0"/>
                <w:szCs w:val="24"/>
              </w:rPr>
              <w:t xml:space="preserve">mental </w:t>
            </w:r>
            <w:r w:rsidR="00906825">
              <w:rPr>
                <w:rFonts w:asciiTheme="minorHAnsi" w:hAnsiTheme="minorHAnsi"/>
                <w:b w:val="0"/>
                <w:szCs w:val="24"/>
              </w:rPr>
              <w:t>strategies eg. friends of 10, doubles + - 1.</w:t>
            </w:r>
          </w:p>
          <w:p w14:paraId="7053AEF2" w14:textId="59FD6C97" w:rsidR="00906825" w:rsidRDefault="00906825" w:rsidP="00906825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Add more numbers to the total</w:t>
            </w:r>
            <w:r w:rsidR="00295D9C">
              <w:rPr>
                <w:rFonts w:asciiTheme="minorHAnsi" w:hAnsiTheme="minorHAnsi"/>
                <w:sz w:val="24"/>
                <w:szCs w:val="24"/>
                <w:lang w:eastAsia="en-AU"/>
              </w:rPr>
              <w:t>, each time trying to use different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strategies eg. jump and split</w:t>
            </w:r>
            <w:r w:rsidR="006F0F1B">
              <w:rPr>
                <w:rFonts w:asciiTheme="minorHAnsi" w:hAnsiTheme="minorHAnsi"/>
                <w:sz w:val="24"/>
                <w:szCs w:val="24"/>
                <w:lang w:eastAsia="en-AU"/>
              </w:rPr>
              <w:t>, and checking solution on the 100’s chart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.</w:t>
            </w:r>
            <w:r w:rsidR="00295D9C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 Talk about the most efficient strategy for each problem.  Use large whiteboard for students to show their strategies.</w:t>
            </w:r>
          </w:p>
          <w:p w14:paraId="17863F15" w14:textId="77777777" w:rsidR="00295D9C" w:rsidRDefault="00295D9C" w:rsidP="00906825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142EBF7B" w14:textId="77777777" w:rsidR="00295D9C" w:rsidRDefault="00295D9C" w:rsidP="00906825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Follow the same procedure for some subtraction problems, starting with taking away a single digit from 10, then building to larger numbers.</w:t>
            </w:r>
          </w:p>
          <w:p w14:paraId="607483A9" w14:textId="77777777" w:rsidR="00295D9C" w:rsidRDefault="00295D9C" w:rsidP="00906825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595B3CA" w14:textId="035FA65E" w:rsidR="00295D9C" w:rsidRPr="00906825" w:rsidRDefault="00295D9C" w:rsidP="00295D9C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A different strategy could be specifically taught or revised each day.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5C047A4D" w14:textId="77777777" w:rsidR="001C6A19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2D4B357" w14:textId="77777777" w:rsidR="00E02CAB" w:rsidRDefault="00E02CAB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DB8B04" w14:textId="46E8EB91" w:rsidR="00E02CAB" w:rsidRPr="00E02CAB" w:rsidRDefault="00E02CAB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Build a Tower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Play as in S1 but start with a tower of 10 cubes.  Play continues until a player builds a tower of 20 cubes.  Add and subtract 1 digit numbers only.</w:t>
            </w:r>
            <w:r w:rsidR="00DC3740">
              <w:rPr>
                <w:rFonts w:asciiTheme="minorHAnsi" w:hAnsiTheme="minorHAnsi"/>
                <w:sz w:val="24"/>
                <w:szCs w:val="24"/>
              </w:rPr>
              <w:t xml:space="preserve"> Encourage counting on from or down from existing number.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229D76A7" w14:textId="77777777" w:rsidR="00856310" w:rsidRDefault="00856310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18DA1C" w14:textId="37686160" w:rsidR="001C6A19" w:rsidRPr="007B3EF8" w:rsidRDefault="007B3EF8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Build a Tower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Play in pairs or small groups.  Each player starts with a tower of 20 unifix cubes.  Player one turns over a card and follows the rule eg. red 8 card (subtracts) black 8 card (adds).  Use 100’s charts to check answers.  Play continues until one player builds a tower of 40 (or 2 towers of 20)</w:t>
            </w:r>
          </w:p>
          <w:p w14:paraId="35DBDBBA" w14:textId="33CE2CF2" w:rsidR="007E4125" w:rsidRPr="006E277A" w:rsidRDefault="00856310" w:rsidP="00520774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563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Assessment 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–</w:t>
            </w:r>
            <w:r w:rsidRPr="008563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obser</w:t>
            </w:r>
            <w:r w:rsidRPr="00856310">
              <w:rPr>
                <w:rFonts w:asciiTheme="minorHAnsi" w:hAnsiTheme="minorHAnsi"/>
                <w:color w:val="FF0000"/>
                <w:sz w:val="24"/>
                <w:szCs w:val="24"/>
              </w:rPr>
              <w:t>vation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of strategies used noting reliance on one or use of variety</w:t>
            </w:r>
            <w:r w:rsidR="006E277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of strategies</w:t>
            </w:r>
            <w:r w:rsidR="001145F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  <w:p w14:paraId="7F63659B" w14:textId="68A6EA27" w:rsidR="007B3EF8" w:rsidRPr="004A4DA4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Investigation:</w:t>
            </w:r>
            <w:r w:rsidR="001145F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3EF8">
              <w:rPr>
                <w:rFonts w:asciiTheme="minorHAnsi" w:hAnsiTheme="minorHAnsi"/>
                <w:sz w:val="24"/>
                <w:szCs w:val="24"/>
              </w:rPr>
              <w:t>use</w:t>
            </w:r>
            <w:r w:rsidR="001145FC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7B3EF8">
              <w:rPr>
                <w:rFonts w:asciiTheme="minorHAnsi" w:hAnsiTheme="minorHAnsi"/>
                <w:sz w:val="24"/>
                <w:szCs w:val="24"/>
              </w:rPr>
              <w:t>number facts, doubles, friends of 10/20</w:t>
            </w:r>
            <w:r w:rsidR="001145FC">
              <w:rPr>
                <w:rFonts w:asciiTheme="minorHAnsi" w:hAnsiTheme="minorHAnsi"/>
                <w:sz w:val="24"/>
                <w:szCs w:val="24"/>
              </w:rPr>
              <w:t>, jump and split strategies</w:t>
            </w:r>
            <w:r w:rsidR="007B3EF8">
              <w:rPr>
                <w:rFonts w:asciiTheme="minorHAnsi" w:hAnsiTheme="minorHAnsi"/>
                <w:sz w:val="24"/>
                <w:szCs w:val="24"/>
              </w:rPr>
              <w:t xml:space="preserve"> to solve addition and subtraction problems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1DC0BC8" w14:textId="77777777" w:rsidR="001C6A19" w:rsidRDefault="001737DE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7B7C6D4" w14:textId="45708B0F" w:rsidR="001737DE" w:rsidRPr="001737DE" w:rsidRDefault="001737DE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Race to 100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Students work with a 100’s chart and start with a counter on 50.  Turn over cards (1-20 range) and add or subtract the number according to colour.  Move the counter on the chart.  Explain the strategy used to partner.  Check using mini whiteboards and alternate strategy.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21BCDB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40473037" w:rsidR="00150099" w:rsidRPr="004A4DA4" w:rsidRDefault="00150099" w:rsidP="000E77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6FCCCE" w14:textId="127D2C70" w:rsidR="005D2618" w:rsidRPr="004A4DA4" w:rsidRDefault="005D2618" w:rsidP="006E277A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843130D"/>
    <w:multiLevelType w:val="hybridMultilevel"/>
    <w:tmpl w:val="04C6A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8"/>
  </w:num>
  <w:num w:numId="9">
    <w:abstractNumId w:val="10"/>
  </w:num>
  <w:num w:numId="10">
    <w:abstractNumId w:val="14"/>
  </w:num>
  <w:num w:numId="11">
    <w:abstractNumId w:val="9"/>
  </w:num>
  <w:num w:numId="12">
    <w:abstractNumId w:val="17"/>
  </w:num>
  <w:num w:numId="13">
    <w:abstractNumId w:val="5"/>
  </w:num>
  <w:num w:numId="14">
    <w:abstractNumId w:val="2"/>
  </w:num>
  <w:num w:numId="15">
    <w:abstractNumId w:val="12"/>
  </w:num>
  <w:num w:numId="16">
    <w:abstractNumId w:val="4"/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0B5BEE"/>
    <w:rsid w:val="000E77B0"/>
    <w:rsid w:val="0010795F"/>
    <w:rsid w:val="00107B2C"/>
    <w:rsid w:val="001145FC"/>
    <w:rsid w:val="00116C60"/>
    <w:rsid w:val="001357A6"/>
    <w:rsid w:val="001451A1"/>
    <w:rsid w:val="00150099"/>
    <w:rsid w:val="001717B7"/>
    <w:rsid w:val="001737DE"/>
    <w:rsid w:val="00183918"/>
    <w:rsid w:val="001B7956"/>
    <w:rsid w:val="001C6A19"/>
    <w:rsid w:val="001F0A11"/>
    <w:rsid w:val="00210AB9"/>
    <w:rsid w:val="00210BA1"/>
    <w:rsid w:val="0022220D"/>
    <w:rsid w:val="00262977"/>
    <w:rsid w:val="002650AE"/>
    <w:rsid w:val="00295D9C"/>
    <w:rsid w:val="002A32F4"/>
    <w:rsid w:val="002B3979"/>
    <w:rsid w:val="002E2AC1"/>
    <w:rsid w:val="0031429D"/>
    <w:rsid w:val="00373C06"/>
    <w:rsid w:val="003D09B5"/>
    <w:rsid w:val="003E36F0"/>
    <w:rsid w:val="003F5FE9"/>
    <w:rsid w:val="00403F6E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9323A"/>
    <w:rsid w:val="005A7343"/>
    <w:rsid w:val="005D2618"/>
    <w:rsid w:val="00620F13"/>
    <w:rsid w:val="00633BA7"/>
    <w:rsid w:val="006466C1"/>
    <w:rsid w:val="00691A0B"/>
    <w:rsid w:val="006D1864"/>
    <w:rsid w:val="006E277A"/>
    <w:rsid w:val="006E7517"/>
    <w:rsid w:val="006F0F1B"/>
    <w:rsid w:val="0079079B"/>
    <w:rsid w:val="0079131F"/>
    <w:rsid w:val="007A1EA1"/>
    <w:rsid w:val="007A222F"/>
    <w:rsid w:val="007B3EF8"/>
    <w:rsid w:val="007C50E5"/>
    <w:rsid w:val="007E3C19"/>
    <w:rsid w:val="007E4125"/>
    <w:rsid w:val="007F31F4"/>
    <w:rsid w:val="00803F1E"/>
    <w:rsid w:val="00816899"/>
    <w:rsid w:val="008442F2"/>
    <w:rsid w:val="00845A5B"/>
    <w:rsid w:val="00856310"/>
    <w:rsid w:val="00877309"/>
    <w:rsid w:val="0088150C"/>
    <w:rsid w:val="008C7B62"/>
    <w:rsid w:val="008D520D"/>
    <w:rsid w:val="008F4588"/>
    <w:rsid w:val="00906825"/>
    <w:rsid w:val="009138EC"/>
    <w:rsid w:val="00923B36"/>
    <w:rsid w:val="00925DF8"/>
    <w:rsid w:val="00932461"/>
    <w:rsid w:val="00932E16"/>
    <w:rsid w:val="0094202C"/>
    <w:rsid w:val="00961AC9"/>
    <w:rsid w:val="00977E43"/>
    <w:rsid w:val="00997114"/>
    <w:rsid w:val="009F49B9"/>
    <w:rsid w:val="009F6542"/>
    <w:rsid w:val="00A11BAA"/>
    <w:rsid w:val="00A2589D"/>
    <w:rsid w:val="00A302BC"/>
    <w:rsid w:val="00A96550"/>
    <w:rsid w:val="00AA36FD"/>
    <w:rsid w:val="00AA7C36"/>
    <w:rsid w:val="00AB5CAF"/>
    <w:rsid w:val="00AC10DF"/>
    <w:rsid w:val="00AD2470"/>
    <w:rsid w:val="00B030A8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76826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C3740"/>
    <w:rsid w:val="00DF47F3"/>
    <w:rsid w:val="00DF7960"/>
    <w:rsid w:val="00E02CAB"/>
    <w:rsid w:val="00E1733F"/>
    <w:rsid w:val="00E202DD"/>
    <w:rsid w:val="00E40A2A"/>
    <w:rsid w:val="00E4494B"/>
    <w:rsid w:val="00E6053A"/>
    <w:rsid w:val="00E84467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D6B9-196B-4C28-A3EA-DD19E179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Robertson, Corinna</cp:lastModifiedBy>
  <cp:revision>2</cp:revision>
  <cp:lastPrinted>2014-04-10T00:03:00Z</cp:lastPrinted>
  <dcterms:created xsi:type="dcterms:W3CDTF">2015-03-05T23:39:00Z</dcterms:created>
  <dcterms:modified xsi:type="dcterms:W3CDTF">2015-03-05T23:39:00Z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