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991E" w14:textId="77777777" w:rsidR="00391C1F" w:rsidRPr="00755018" w:rsidRDefault="00391C1F" w:rsidP="00391C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5501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CHANCE 1 – STAGE 3</w:t>
      </w:r>
    </w:p>
    <w:p w14:paraId="1EB0E5DF" w14:textId="77777777" w:rsidR="00391C1F" w:rsidRPr="00755018" w:rsidRDefault="00391C1F" w:rsidP="00192D2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5501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036F6AEA" w14:textId="77777777" w:rsidR="00391C1F" w:rsidRPr="00192D20" w:rsidRDefault="00391C1F" w:rsidP="00192D2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192D20">
        <w:rPr>
          <w:rFonts w:asciiTheme="majorHAnsi" w:eastAsia="Times New Roman" w:hAnsiTheme="majorHAnsi" w:cs="Times New Roman"/>
        </w:rPr>
        <w:t>A student:</w:t>
      </w:r>
    </w:p>
    <w:p w14:paraId="646550BF" w14:textId="77777777" w:rsidR="00391C1F" w:rsidRPr="00192D20" w:rsidRDefault="00391C1F" w:rsidP="00192D2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14:paraId="1DD7A301" w14:textId="77777777" w:rsidR="00391C1F" w:rsidRDefault="00391C1F" w:rsidP="00192D2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MA3-19SP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conducts chance experiments and assigns probabilities as values between 0 and 1 to describe their outcomes</w:t>
      </w:r>
    </w:p>
    <w:p w14:paraId="74951B40" w14:textId="77777777" w:rsidR="00192D20" w:rsidRPr="00192D20" w:rsidRDefault="00192D20" w:rsidP="00192D20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222831" w:rsidRPr="00755018" w14:paraId="51E5F3DB" w14:textId="77777777" w:rsidTr="00222831">
        <w:trPr>
          <w:jc w:val="center"/>
        </w:trPr>
        <w:tc>
          <w:tcPr>
            <w:tcW w:w="11797" w:type="dxa"/>
          </w:tcPr>
          <w:p w14:paraId="174367CE" w14:textId="77777777" w:rsidR="00222831" w:rsidRPr="00755018" w:rsidRDefault="00222831" w:rsidP="0075501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14:paraId="0FF1FF90" w14:textId="77777777" w:rsidR="00222831" w:rsidRPr="00755018" w:rsidRDefault="00222831" w:rsidP="0075501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222831" w:rsidRPr="00755018" w14:paraId="1AA88A3C" w14:textId="77777777" w:rsidTr="00222831">
        <w:trPr>
          <w:jc w:val="center"/>
        </w:trPr>
        <w:tc>
          <w:tcPr>
            <w:tcW w:w="11797" w:type="dxa"/>
          </w:tcPr>
          <w:p w14:paraId="7DC8E967" w14:textId="77777777" w:rsidR="00222831" w:rsidRPr="00755018" w:rsidRDefault="00222831" w:rsidP="0075501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List outcomes of chance experiments involving </w:t>
            </w:r>
            <w:r>
              <w:fldChar w:fldCharType="begin"/>
            </w:r>
            <w:r>
              <w:instrText xml:space="preserve"> HYPERLINK "http://syllabus.bos.nsw.edu.au/glossary/mat/equally-likely-outcomes/?ajax" \t "_blank" \o "Click for more information about 'equally likely'"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equally likely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outcomes and represent probabilities of those outcomes using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(ACMSP116)</w:t>
            </w:r>
          </w:p>
        </w:tc>
        <w:tc>
          <w:tcPr>
            <w:tcW w:w="1123" w:type="dxa"/>
          </w:tcPr>
          <w:p w14:paraId="1FAF143F" w14:textId="77777777" w:rsidR="00222831" w:rsidRPr="00755018" w:rsidRDefault="00222831" w:rsidP="0020372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20648912" w14:textId="77777777" w:rsidTr="00222831">
        <w:trPr>
          <w:jc w:val="center"/>
        </w:trPr>
        <w:tc>
          <w:tcPr>
            <w:tcW w:w="11797" w:type="dxa"/>
          </w:tcPr>
          <w:p w14:paraId="4ECBCF00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</w:t>
            </w:r>
            <w:r>
              <w:fldChar w:fldCharType="begin"/>
            </w:r>
            <w:r>
              <w:instrText xml:space="preserve"> HYPERLINK "http://syllabus.bos.nsw.edu.au/glossary/mat/probability/?ajax" \t "_blank" \o "Click for more information about 'probability'"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probability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' to describe the numerical value that represents the likelihood of an outcome of a chance experiment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46A2198" wp14:editId="16978123">
                  <wp:extent cx="203200" cy="203200"/>
                  <wp:effectExtent l="0" t="0" r="0" b="0"/>
                  <wp:docPr id="36" name="Picture 3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7BD11D78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222831" w:rsidRPr="00755018" w14:paraId="40050F24" w14:textId="77777777" w:rsidTr="00222831">
        <w:trPr>
          <w:jc w:val="center"/>
        </w:trPr>
        <w:tc>
          <w:tcPr>
            <w:tcW w:w="11797" w:type="dxa"/>
          </w:tcPr>
          <w:p w14:paraId="4BEB3069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outcomes are described as 'equally likely' when any one outcome has the same chance of occurring as any other outcome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D41E90A" wp14:editId="74960FDA">
                  <wp:extent cx="203200" cy="203200"/>
                  <wp:effectExtent l="0" t="0" r="0" b="0"/>
                  <wp:docPr id="37" name="Picture 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18AD00D1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222831" w:rsidRPr="00755018" w14:paraId="772488F8" w14:textId="77777777" w:rsidTr="00222831">
        <w:trPr>
          <w:jc w:val="center"/>
        </w:trPr>
        <w:tc>
          <w:tcPr>
            <w:tcW w:w="11797" w:type="dxa"/>
          </w:tcPr>
          <w:p w14:paraId="1D22C148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list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all outcomes in chance experiments where each outcome is equally likely to occur</w:t>
            </w:r>
          </w:p>
        </w:tc>
        <w:tc>
          <w:tcPr>
            <w:tcW w:w="1123" w:type="dxa"/>
          </w:tcPr>
          <w:p w14:paraId="595D9B88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222831" w:rsidRPr="00755018" w14:paraId="63C3B341" w14:textId="77777777" w:rsidTr="00222831">
        <w:trPr>
          <w:jc w:val="center"/>
        </w:trPr>
        <w:tc>
          <w:tcPr>
            <w:tcW w:w="11797" w:type="dxa"/>
          </w:tcPr>
          <w:p w14:paraId="4FA786C2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probabilities of outcomes of chance experiments using fractions,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for one throw of a standard six-sided die or for one spin of an eight-sector spinner</w:t>
            </w:r>
          </w:p>
        </w:tc>
        <w:tc>
          <w:tcPr>
            <w:tcW w:w="1123" w:type="dxa"/>
          </w:tcPr>
          <w:p w14:paraId="68E99345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222831" w:rsidRPr="00755018" w14:paraId="5FB2CD24" w14:textId="77777777" w:rsidTr="00222831">
        <w:trPr>
          <w:jc w:val="center"/>
        </w:trPr>
        <w:tc>
          <w:tcPr>
            <w:tcW w:w="11797" w:type="dxa"/>
          </w:tcPr>
          <w:p w14:paraId="65C0A1BF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likelihood of winning simple games by considering the number of possible outcomes,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in a 'rock-paper-scissors' game (Problem Solving,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BEB1BA0" wp14:editId="458FA5A9">
                  <wp:extent cx="203200" cy="203200"/>
                  <wp:effectExtent l="0" t="0" r="0" b="0"/>
                  <wp:docPr id="38" name="Picture 3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D32ABF" wp14:editId="6A1BBFDE">
                  <wp:extent cx="203200" cy="203200"/>
                  <wp:effectExtent l="0" t="0" r="0" b="0"/>
                  <wp:docPr id="39" name="Picture 3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2A0A1420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222831" w:rsidRPr="00755018" w14:paraId="1D775648" w14:textId="77777777" w:rsidTr="00222831">
        <w:trPr>
          <w:trHeight w:val="377"/>
          <w:jc w:val="center"/>
        </w:trPr>
        <w:tc>
          <w:tcPr>
            <w:tcW w:w="11797" w:type="dxa"/>
          </w:tcPr>
          <w:p w14:paraId="6974BCC9" w14:textId="77777777" w:rsidR="00222831" w:rsidRPr="00755018" w:rsidRDefault="00222831" w:rsidP="00391C1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14:paraId="3E7B5BA3" w14:textId="77777777" w:rsidR="00222831" w:rsidRPr="00755018" w:rsidRDefault="00222831" w:rsidP="0020372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442BCA7B" w14:textId="77777777" w:rsidTr="00222831">
        <w:trPr>
          <w:jc w:val="center"/>
        </w:trPr>
        <w:tc>
          <w:tcPr>
            <w:tcW w:w="11797" w:type="dxa"/>
          </w:tcPr>
          <w:p w14:paraId="0635C860" w14:textId="77777777" w:rsidR="00222831" w:rsidRPr="00755018" w:rsidRDefault="00222831" w:rsidP="0075501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that probabilities range from 0 to 1 </w:t>
            </w:r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(ACMSP117)</w:t>
            </w:r>
          </w:p>
        </w:tc>
        <w:tc>
          <w:tcPr>
            <w:tcW w:w="1123" w:type="dxa"/>
          </w:tcPr>
          <w:p w14:paraId="5854B189" w14:textId="77777777" w:rsidR="00222831" w:rsidRPr="00755018" w:rsidRDefault="00222831" w:rsidP="0020372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50EA1013" w14:textId="77777777" w:rsidTr="00222831">
        <w:trPr>
          <w:jc w:val="center"/>
        </w:trPr>
        <w:tc>
          <w:tcPr>
            <w:tcW w:w="11797" w:type="dxa"/>
          </w:tcPr>
          <w:p w14:paraId="5F03B83C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establish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 </w:t>
            </w:r>
            <w:r>
              <w:fldChar w:fldCharType="begin"/>
            </w:r>
            <w:r>
              <w:instrText xml:space="preserve"> HYPERLINK "http://syllabus.bos.nsw.edu.au/glossary/mat/sum/?ajax" \t "_blank" \o "Click for more information about 'sum'"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sum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the probabilities of the outcomes of any chance experiment is equal to 1</w:t>
            </w:r>
          </w:p>
        </w:tc>
        <w:tc>
          <w:tcPr>
            <w:tcW w:w="1123" w:type="dxa"/>
          </w:tcPr>
          <w:p w14:paraId="2CBFB0B0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222831" w:rsidRPr="00755018" w14:paraId="33290EF0" w14:textId="77777777" w:rsidTr="00222831">
        <w:trPr>
          <w:jc w:val="center"/>
        </w:trPr>
        <w:tc>
          <w:tcPr>
            <w:tcW w:w="11797" w:type="dxa"/>
          </w:tcPr>
          <w:p w14:paraId="3E779553" w14:textId="77777777" w:rsidR="00222831" w:rsidRPr="00755018" w:rsidRDefault="00222831" w:rsidP="0020372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order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commonly used chance words on an </w:t>
            </w:r>
            <w:r>
              <w:fldChar w:fldCharType="begin"/>
            </w:r>
            <w:r>
              <w:instrText xml:space="preserve"> HYPERLINK "http://syllabus.bos.nsw.edu.au/glossary/mat/interval/?ajax" \t "_blank" \o "Click for more information about 'interval'"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interval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from zero ('impossible') to one ('certain'),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'equally likely' would be placed at one half or 0.5</w:t>
            </w:r>
          </w:p>
        </w:tc>
        <w:tc>
          <w:tcPr>
            <w:tcW w:w="1123" w:type="dxa"/>
          </w:tcPr>
          <w:p w14:paraId="0CA864A0" w14:textId="77777777" w:rsidR="00222831" w:rsidRPr="00755018" w:rsidRDefault="00222831" w:rsidP="0020372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22831" w:rsidRPr="00755018" w14:paraId="343857B4" w14:textId="77777777" w:rsidTr="00222831">
        <w:trPr>
          <w:jc w:val="center"/>
        </w:trPr>
        <w:tc>
          <w:tcPr>
            <w:tcW w:w="11797" w:type="dxa"/>
          </w:tcPr>
          <w:p w14:paraId="492EEB99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"http://syllabus.bos.nsw.edu.au/glossary/mat/event/?ajax" \t "_blank" \o "Click for more information about 'events'"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events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that are impossible and events that are certain (Communicating)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59CA9B9" wp14:editId="262804A3">
                  <wp:extent cx="203200" cy="203200"/>
                  <wp:effectExtent l="0" t="0" r="0" b="0"/>
                  <wp:docPr id="44" name="Picture 4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846A04D" wp14:editId="7880A7ED">
                  <wp:extent cx="203200" cy="203200"/>
                  <wp:effectExtent l="0" t="0" r="0" b="0"/>
                  <wp:docPr id="45" name="Picture 4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28112154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222831" w:rsidRPr="00755018" w14:paraId="1D90EBC8" w14:textId="77777777" w:rsidTr="00222831">
        <w:trPr>
          <w:jc w:val="center"/>
        </w:trPr>
        <w:tc>
          <w:tcPr>
            <w:tcW w:w="11797" w:type="dxa"/>
          </w:tcPr>
          <w:p w14:paraId="7089531A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likelihood of a variety of events as being more or less than a half (or 0.5) and order the events on an interval (Communicating)</w:t>
            </w:r>
          </w:p>
        </w:tc>
        <w:tc>
          <w:tcPr>
            <w:tcW w:w="1123" w:type="dxa"/>
          </w:tcPr>
          <w:p w14:paraId="5F460DEB" w14:textId="77777777" w:rsidR="00222831" w:rsidRPr="00755018" w:rsidRDefault="00222831" w:rsidP="0020372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</w:tbl>
    <w:p w14:paraId="5BB2115A" w14:textId="77777777" w:rsidR="00192D20" w:rsidRDefault="00192D20" w:rsidP="00391C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14:paraId="59507E4A" w14:textId="77777777" w:rsidR="00192D20" w:rsidRDefault="00192D20">
      <w:pP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br w:type="page"/>
      </w:r>
    </w:p>
    <w:p w14:paraId="0009B980" w14:textId="77777777" w:rsidR="00391C1F" w:rsidRPr="00755018" w:rsidRDefault="00391C1F" w:rsidP="00391C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5501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CHANCE 2 – STAGE 3</w:t>
      </w:r>
    </w:p>
    <w:p w14:paraId="101E0419" w14:textId="77777777" w:rsidR="00391C1F" w:rsidRPr="00755018" w:rsidRDefault="00391C1F" w:rsidP="00192D2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5501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6A8FE715" w14:textId="77777777" w:rsidR="00391C1F" w:rsidRPr="00192D20" w:rsidRDefault="00391C1F" w:rsidP="00192D2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192D20">
        <w:rPr>
          <w:rFonts w:asciiTheme="majorHAnsi" w:eastAsia="Times New Roman" w:hAnsiTheme="majorHAnsi" w:cs="Times New Roman"/>
        </w:rPr>
        <w:t>A student:</w:t>
      </w:r>
    </w:p>
    <w:p w14:paraId="2DA0FA5F" w14:textId="77777777" w:rsidR="00391C1F" w:rsidRPr="00192D20" w:rsidRDefault="00391C1F" w:rsidP="00192D20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14:paraId="13B1EBCD" w14:textId="77777777" w:rsidR="00391C1F" w:rsidRPr="00192D20" w:rsidRDefault="00391C1F" w:rsidP="00192D20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14:paraId="2BAFD06B" w14:textId="77777777" w:rsidR="00391C1F" w:rsidRPr="00192D20" w:rsidRDefault="00391C1F" w:rsidP="00192D20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14:paraId="12DB7483" w14:textId="77777777" w:rsidR="00391C1F" w:rsidRPr="00192D20" w:rsidRDefault="00391C1F" w:rsidP="00192D20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92D20">
        <w:rPr>
          <w:rFonts w:asciiTheme="majorHAnsi" w:eastAsia="Times New Roman" w:hAnsiTheme="majorHAnsi" w:cs="Times New Roman"/>
          <w:sz w:val="18"/>
          <w:szCs w:val="18"/>
        </w:rPr>
        <w:t>MA3-19SP</w:t>
      </w:r>
      <w:r w:rsidR="00192D20" w:rsidRPr="00192D2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92D20">
        <w:rPr>
          <w:rFonts w:asciiTheme="majorHAnsi" w:hAnsiTheme="majorHAnsi" w:cs="Times New Roman"/>
          <w:sz w:val="20"/>
          <w:szCs w:val="20"/>
        </w:rPr>
        <w:t>conducts chance experiments and assigns probabilities as values between 0 and 1 to describe their outcomes</w:t>
      </w:r>
    </w:p>
    <w:p w14:paraId="08117EB0" w14:textId="77777777" w:rsidR="00391C1F" w:rsidRPr="00755018" w:rsidRDefault="00391C1F" w:rsidP="00192D2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222831" w:rsidRPr="00755018" w14:paraId="31786024" w14:textId="77777777" w:rsidTr="00222831">
        <w:trPr>
          <w:jc w:val="center"/>
        </w:trPr>
        <w:tc>
          <w:tcPr>
            <w:tcW w:w="12015" w:type="dxa"/>
          </w:tcPr>
          <w:p w14:paraId="2235E926" w14:textId="77777777" w:rsidR="00222831" w:rsidRPr="00755018" w:rsidRDefault="00222831" w:rsidP="0075501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14:paraId="093E2E06" w14:textId="77777777" w:rsidR="00222831" w:rsidRPr="00755018" w:rsidRDefault="00222831" w:rsidP="0075501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222831" w:rsidRPr="00755018" w14:paraId="28CEF691" w14:textId="77777777" w:rsidTr="00222831">
        <w:trPr>
          <w:jc w:val="center"/>
        </w:trPr>
        <w:tc>
          <w:tcPr>
            <w:tcW w:w="12015" w:type="dxa"/>
          </w:tcPr>
          <w:p w14:paraId="720D1540" w14:textId="77777777" w:rsidR="00222831" w:rsidRPr="00755018" w:rsidRDefault="00222831" w:rsidP="0075501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observed </w:t>
            </w:r>
            <w:r>
              <w:fldChar w:fldCharType="begin"/>
            </w:r>
            <w:r>
              <w:instrText xml:space="preserve"> HYPERLINK "http://syllabus.bos.nsw.edu.au/glossary/mat/frequencies/?ajax" \t "_blank" \o "Click for more information about 'frequencies'"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frequencies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across experiments with expected frequencies </w:t>
            </w:r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(ACMSP146)</w:t>
            </w:r>
          </w:p>
        </w:tc>
        <w:tc>
          <w:tcPr>
            <w:tcW w:w="1265" w:type="dxa"/>
          </w:tcPr>
          <w:p w14:paraId="7AF51FB9" w14:textId="77777777" w:rsidR="00222831" w:rsidRPr="00755018" w:rsidRDefault="00222831" w:rsidP="003E0376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3AFB2BBA" w14:textId="77777777" w:rsidTr="00222831">
        <w:trPr>
          <w:jc w:val="center"/>
        </w:trPr>
        <w:tc>
          <w:tcPr>
            <w:tcW w:w="12015" w:type="dxa"/>
          </w:tcPr>
          <w:p w14:paraId="26D5E3FB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'frequency' to describe the number of times a particular outcome occurs in a chance experiment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AB715E5" wp14:editId="5CCFFA7C">
                  <wp:extent cx="203200" cy="203200"/>
                  <wp:effectExtent l="0" t="0" r="0" b="0"/>
                  <wp:docPr id="118" name="Picture 11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7697DCB6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22831" w:rsidRPr="00755018" w14:paraId="5A061F3F" w14:textId="77777777" w:rsidTr="00222831">
        <w:trPr>
          <w:jc w:val="center"/>
        </w:trPr>
        <w:tc>
          <w:tcPr>
            <w:tcW w:w="12015" w:type="dxa"/>
          </w:tcPr>
          <w:p w14:paraId="50C950EA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distinguish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the 'frequency' of an outcome and the '</w:t>
            </w:r>
            <w:r>
              <w:fldChar w:fldCharType="begin"/>
            </w:r>
            <w:r>
              <w:instrText xml:space="preserve"> HYPERLINK "http://syllabus.bos.nsw.edu.au/glossary/mat/probability/?ajax" \t "_blank" \o "Click for more information about 'probability'"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probability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' of an outcome in a chance experiment (Communicating)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1C95079" wp14:editId="1320FB3D">
                  <wp:extent cx="203200" cy="203200"/>
                  <wp:effectExtent l="0" t="0" r="0" b="0"/>
                  <wp:docPr id="119" name="Picture 11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63212BF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22831" w:rsidRPr="00755018" w14:paraId="7D1BC790" w14:textId="77777777" w:rsidTr="00222831">
        <w:trPr>
          <w:jc w:val="center"/>
        </w:trPr>
        <w:tc>
          <w:tcPr>
            <w:tcW w:w="12015" w:type="dxa"/>
          </w:tcPr>
          <w:p w14:paraId="37E9A960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expected frequencies of outcomes of chance experiments with observed frequencies, including where the outcomes are not </w:t>
            </w:r>
            <w:r>
              <w:fldChar w:fldCharType="begin"/>
            </w:r>
            <w:r>
              <w:instrText xml:space="preserve"> HYPERLINK "http://syllabus.bos.nsw.edu.au/glossary/mat/equally-likely-outcomes/?ajax" \t "_blank" \o "Click for more information about 'equally likely'"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equally likely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1265" w:type="dxa"/>
          </w:tcPr>
          <w:p w14:paraId="1A139A86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222831" w:rsidRPr="00755018" w14:paraId="0E7E128D" w14:textId="77777777" w:rsidTr="00222831">
        <w:trPr>
          <w:jc w:val="center"/>
        </w:trPr>
        <w:tc>
          <w:tcPr>
            <w:tcW w:w="12015" w:type="dxa"/>
          </w:tcPr>
          <w:p w14:paraId="2DC3EB0E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some random generators have outcomes that are not equally likely and discuss the effect on expected outcomes,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on this spinner, green is more likely to occur than red or grey or blue (Reasoning)</w:t>
            </w:r>
          </w:p>
        </w:tc>
        <w:tc>
          <w:tcPr>
            <w:tcW w:w="1265" w:type="dxa"/>
          </w:tcPr>
          <w:p w14:paraId="501D48C8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222831" w:rsidRPr="00755018" w14:paraId="17B3E92C" w14:textId="77777777" w:rsidTr="00222831">
        <w:trPr>
          <w:jc w:val="center"/>
        </w:trPr>
        <w:tc>
          <w:tcPr>
            <w:tcW w:w="12015" w:type="dxa"/>
          </w:tcPr>
          <w:p w14:paraId="159A624C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'fairness' of simple games involving chance (Communicating,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3531F5C" wp14:editId="56E70235">
                  <wp:extent cx="203200" cy="203200"/>
                  <wp:effectExtent l="0" t="0" r="0" b="0"/>
                  <wp:docPr id="121" name="Picture 12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4C99C5" wp14:editId="50B417B2">
                  <wp:extent cx="203200" cy="203200"/>
                  <wp:effectExtent l="0" t="0" r="0" b="0"/>
                  <wp:docPr id="122" name="Picture 122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EB9C47D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22831" w:rsidRPr="00755018" w14:paraId="1EA7A04E" w14:textId="77777777" w:rsidTr="00222831">
        <w:trPr>
          <w:jc w:val="center"/>
        </w:trPr>
        <w:tc>
          <w:tcPr>
            <w:tcW w:w="12015" w:type="dxa"/>
          </w:tcPr>
          <w:p w14:paraId="6C04F6D4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observed frequencies of outcomes in chance experiments may differ from expected frequencies (Communicating,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7FDEEB1" wp14:editId="53BACCC6">
                  <wp:extent cx="203200" cy="203200"/>
                  <wp:effectExtent l="0" t="0" r="0" b="0"/>
                  <wp:docPr id="123" name="Picture 12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04EA4EA" wp14:editId="24198ECF">
                  <wp:extent cx="203200" cy="203200"/>
                  <wp:effectExtent l="0" t="0" r="0" b="0"/>
                  <wp:docPr id="124" name="Picture 12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57E058D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22831" w:rsidRPr="00755018" w14:paraId="71F9C17F" w14:textId="77777777" w:rsidTr="00222831">
        <w:trPr>
          <w:jc w:val="center"/>
        </w:trPr>
        <w:tc>
          <w:tcPr>
            <w:tcW w:w="12015" w:type="dxa"/>
          </w:tcPr>
          <w:p w14:paraId="1FBD9F03" w14:textId="77777777" w:rsidR="00222831" w:rsidRPr="00755018" w:rsidRDefault="00222831" w:rsidP="00391C1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14:paraId="488A054A" w14:textId="77777777" w:rsidR="00222831" w:rsidRPr="00755018" w:rsidRDefault="00222831" w:rsidP="003E0376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7CFF7B79" w14:textId="77777777" w:rsidTr="00222831">
        <w:trPr>
          <w:jc w:val="center"/>
        </w:trPr>
        <w:tc>
          <w:tcPr>
            <w:tcW w:w="12015" w:type="dxa"/>
          </w:tcPr>
          <w:p w14:paraId="15810845" w14:textId="77777777" w:rsidR="00222831" w:rsidRPr="00755018" w:rsidRDefault="00222831" w:rsidP="0075501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Describe probabilities using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decimals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"http://syllabus.bos.nsw.edu.au/glossary/mat/percentage/?ajax" \t "_blank" \o "Click for more information about 'percentages'"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percentages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(ACMSP144)</w:t>
            </w:r>
          </w:p>
        </w:tc>
        <w:tc>
          <w:tcPr>
            <w:tcW w:w="1265" w:type="dxa"/>
          </w:tcPr>
          <w:p w14:paraId="1226FE89" w14:textId="77777777" w:rsidR="00222831" w:rsidRPr="00755018" w:rsidRDefault="00222831" w:rsidP="003E0376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611FBA29" w14:textId="77777777" w:rsidTr="00222831">
        <w:trPr>
          <w:jc w:val="center"/>
        </w:trPr>
        <w:tc>
          <w:tcPr>
            <w:tcW w:w="12015" w:type="dxa"/>
          </w:tcPr>
          <w:p w14:paraId="7030C984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list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outcomes for chance experiments where the outcomes are not equally likely to occur and assign probabilities to the outcomes using fractions</w:t>
            </w:r>
          </w:p>
        </w:tc>
        <w:tc>
          <w:tcPr>
            <w:tcW w:w="1265" w:type="dxa"/>
          </w:tcPr>
          <w:p w14:paraId="1AAFB0D6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222831" w:rsidRPr="00755018" w14:paraId="58343313" w14:textId="77777777" w:rsidTr="00222831">
        <w:trPr>
          <w:jc w:val="center"/>
        </w:trPr>
        <w:tc>
          <w:tcPr>
            <w:tcW w:w="12015" w:type="dxa"/>
          </w:tcPr>
          <w:p w14:paraId="1935AE7C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knowledge of </w:t>
            </w:r>
            <w:r>
              <w:fldChar w:fldCharType="begin"/>
            </w:r>
            <w:r>
              <w:instrText xml:space="preserve"> HYPERLINK "http://syllabus.bos.nsw.edu.au/glossary/mat/equivalent-fractions/?ajax" \t "_blank" \o "Click for more information about 'equivalent fractions'"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equivalent 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decimals and percentages to assign probabilities to the likelihood of outcomes,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there is a 'five in ten, one half, 50%, 0.5 or 'one in two' chance of a particular </w:t>
            </w:r>
            <w:r>
              <w:fldChar w:fldCharType="begin"/>
            </w:r>
            <w:r>
              <w:instrText xml:space="preserve"> HYPERLINK "http://syllabus.bos.nsw.edu.au/glossary/mat/event/?ajax" \t "_blank" \o "Click for more information about 'event'"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event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occurring</w:t>
            </w:r>
          </w:p>
        </w:tc>
        <w:tc>
          <w:tcPr>
            <w:tcW w:w="1265" w:type="dxa"/>
          </w:tcPr>
          <w:p w14:paraId="3B737AA0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222831" w:rsidRPr="00755018" w14:paraId="6C9AC4E8" w14:textId="77777777" w:rsidTr="00222831">
        <w:trPr>
          <w:jc w:val="center"/>
        </w:trPr>
        <w:tc>
          <w:tcPr>
            <w:tcW w:w="12015" w:type="dxa"/>
          </w:tcPr>
          <w:p w14:paraId="65984FC5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probabilities in real-life contexts,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'My football team has a 50% chance of winning the game' (Communicating, Reasoning)</w:t>
            </w:r>
          </w:p>
        </w:tc>
        <w:tc>
          <w:tcPr>
            <w:tcW w:w="1265" w:type="dxa"/>
          </w:tcPr>
          <w:p w14:paraId="1F3919AD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222831" w:rsidRPr="00755018" w14:paraId="584B8823" w14:textId="77777777" w:rsidTr="00222831">
        <w:trPr>
          <w:jc w:val="center"/>
        </w:trPr>
        <w:tc>
          <w:tcPr>
            <w:tcW w:w="12015" w:type="dxa"/>
          </w:tcPr>
          <w:p w14:paraId="0880E7EE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design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spinner or label a die so that a particular outcome is more likely than another and discuss the probabilities of the outcomes (Communicating, Problem Solving)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38860F6" wp14:editId="21FC74F7">
                  <wp:extent cx="203200" cy="203200"/>
                  <wp:effectExtent l="0" t="0" r="0" b="0"/>
                  <wp:docPr id="132" name="Picture 13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44E3B73" w14:textId="77777777" w:rsidR="00222831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222831" w:rsidRPr="00755018" w14:paraId="607EFC37" w14:textId="77777777" w:rsidTr="00222831">
        <w:trPr>
          <w:jc w:val="center"/>
        </w:trPr>
        <w:tc>
          <w:tcPr>
            <w:tcW w:w="12015" w:type="dxa"/>
          </w:tcPr>
          <w:p w14:paraId="64B28CFD" w14:textId="77777777" w:rsidR="00222831" w:rsidRPr="00755018" w:rsidRDefault="00222831" w:rsidP="00525E5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 xml:space="preserve">Conduct chance experiments with both small and large numbers of trials using appropriate digital </w:t>
            </w:r>
            <w:proofErr w:type="gramStart"/>
            <w:r w:rsidRPr="0075501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technologies</w:t>
            </w:r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ACMSP145)</w:t>
            </w:r>
          </w:p>
        </w:tc>
        <w:tc>
          <w:tcPr>
            <w:tcW w:w="1265" w:type="dxa"/>
          </w:tcPr>
          <w:p w14:paraId="30D7C3CA" w14:textId="77777777" w:rsidR="00222831" w:rsidRPr="00755018" w:rsidRDefault="00222831" w:rsidP="003E0376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22831" w:rsidRPr="00755018" w14:paraId="0DD8A2F1" w14:textId="77777777" w:rsidTr="00222831">
        <w:trPr>
          <w:jc w:val="center"/>
        </w:trPr>
        <w:tc>
          <w:tcPr>
            <w:tcW w:w="12015" w:type="dxa"/>
          </w:tcPr>
          <w:p w14:paraId="029EB009" w14:textId="77777777" w:rsidR="00222831" w:rsidRPr="00755018" w:rsidRDefault="00222831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assign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expected probabilities to outcomes in chance experiments with random generators, including digital simulators, and compare the expected probabilities with the observed probabilities after both small and large numbers of trials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D1FF906" wp14:editId="7EA15E73">
                  <wp:extent cx="203200" cy="203200"/>
                  <wp:effectExtent l="0" t="0" r="0" b="0"/>
                  <wp:docPr id="133" name="Picture 13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CD40BE2" w14:textId="77777777" w:rsidR="00222831" w:rsidRPr="00016FDA" w:rsidRDefault="00016FDA" w:rsidP="00016FD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</w:pPr>
            <w:r w:rsidRPr="00016FDA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016FDA" w:rsidRPr="00755018" w14:paraId="4CD16C9A" w14:textId="77777777" w:rsidTr="00222831">
        <w:trPr>
          <w:jc w:val="center"/>
        </w:trPr>
        <w:tc>
          <w:tcPr>
            <w:tcW w:w="12015" w:type="dxa"/>
          </w:tcPr>
          <w:p w14:paraId="4AEFA6C1" w14:textId="77777777" w:rsidR="00016FDA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discuss the differences between the expected probabilities and the observed probabilities after both small and large numbers of trials (Communicating,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B16AF9" wp14:editId="24619C6A">
                  <wp:extent cx="203200" cy="203200"/>
                  <wp:effectExtent l="0" t="0" r="0" b="0"/>
                  <wp:docPr id="134" name="Picture 13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66DD2496" w14:textId="77777777" w:rsidR="00016FDA" w:rsidRDefault="00016FDA" w:rsidP="00016FDA">
            <w:pPr>
              <w:jc w:val="center"/>
            </w:pPr>
            <w:r w:rsidRPr="00303172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016FDA" w:rsidRPr="00755018" w14:paraId="25D388D2" w14:textId="77777777" w:rsidTr="00222831">
        <w:trPr>
          <w:jc w:val="center"/>
        </w:trPr>
        <w:tc>
          <w:tcPr>
            <w:tcW w:w="12015" w:type="dxa"/>
          </w:tcPr>
          <w:p w14:paraId="19402F2F" w14:textId="77777777" w:rsidR="00016FDA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what happens to the observed probabilities as the number of trials increases (Communicating,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BA4CB3" wp14:editId="391D3FBA">
                  <wp:extent cx="203200" cy="203200"/>
                  <wp:effectExtent l="0" t="0" r="0" b="0"/>
                  <wp:docPr id="135" name="Picture 13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E5ECC61" w14:textId="77777777" w:rsidR="00016FDA" w:rsidRDefault="00016FDA" w:rsidP="00016FDA">
            <w:pPr>
              <w:jc w:val="center"/>
            </w:pPr>
            <w:r w:rsidRPr="00303172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016FDA" w:rsidRPr="00755018" w14:paraId="28D3115A" w14:textId="77777777" w:rsidTr="00222831">
        <w:trPr>
          <w:jc w:val="center"/>
        </w:trPr>
        <w:tc>
          <w:tcPr>
            <w:tcW w:w="12015" w:type="dxa"/>
          </w:tcPr>
          <w:p w14:paraId="3F34A320" w14:textId="77777777" w:rsidR="00016FDA" w:rsidRPr="00755018" w:rsidRDefault="00016FDA" w:rsidP="00016FD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"http://syllabus.bos.nsw.edu.au/glossary/mat/sample/?ajax" \t "_blank" \o "Click for more information about 'samples'"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samples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to make predictions about a larger '</w:t>
            </w:r>
            <w:r>
              <w:fldChar w:fldCharType="begin"/>
            </w:r>
            <w:r>
              <w:instrText xml:space="preserve"> HYPERLINK "http://syllabus.bos.nsw.edu.au/glossary/mat/population/?ajax" \t "_blank" \o "Click for more information about 'population'" </w:instrText>
            </w:r>
            <w:r>
              <w:fldChar w:fldCharType="separate"/>
            </w:r>
            <w:r w:rsidRPr="0075501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population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' from which the sample comes, </w:t>
            </w:r>
            <w:proofErr w:type="spell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take a random sample of coloured lollies from a bag, calculate the probability of obtaining each colour of lolly when drawing a lolly from the bag, and use these probabilities and the total number of lollies in the bag to predict the number of each colour of lolly in the bag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228E19" wp14:editId="72B23284">
                  <wp:extent cx="203200" cy="203200"/>
                  <wp:effectExtent l="0" t="0" r="0" b="0"/>
                  <wp:docPr id="136" name="Picture 13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6162DD5D" w14:textId="77777777" w:rsidR="00016FDA" w:rsidRDefault="00016FDA" w:rsidP="00016FDA">
            <w:pPr>
              <w:jc w:val="center"/>
            </w:pPr>
            <w:r w:rsidRPr="00303172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016FDA" w:rsidRPr="00755018" w14:paraId="2AA84548" w14:textId="77777777" w:rsidTr="00222831">
        <w:trPr>
          <w:jc w:val="center"/>
        </w:trPr>
        <w:tc>
          <w:tcPr>
            <w:tcW w:w="12015" w:type="dxa"/>
          </w:tcPr>
          <w:p w14:paraId="444D77FF" w14:textId="77777777" w:rsidR="00016FDA" w:rsidRPr="00755018" w:rsidRDefault="00016FDA" w:rsidP="003E0376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75501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whether a prediction about a larger population, from which a sample comes, would be the same if a different sample were used (Communicating, Reasoning) </w:t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948DF33" wp14:editId="3BA77B13">
                  <wp:extent cx="203200" cy="203200"/>
                  <wp:effectExtent l="0" t="0" r="0" b="0"/>
                  <wp:docPr id="137" name="Picture 1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1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3294FB0" wp14:editId="02E2C6DE">
                  <wp:extent cx="203200" cy="203200"/>
                  <wp:effectExtent l="0" t="0" r="0" b="0"/>
                  <wp:docPr id="138" name="Picture 13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6B01445B" w14:textId="77777777" w:rsidR="00016FDA" w:rsidRDefault="00016FDA" w:rsidP="00016FDA">
            <w:pPr>
              <w:jc w:val="center"/>
            </w:pPr>
            <w:r w:rsidRPr="00303172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</w:tbl>
    <w:p w14:paraId="14769621" w14:textId="77777777" w:rsidR="00391C1F" w:rsidRPr="00016FDA" w:rsidRDefault="00016FDA" w:rsidP="00016FDA">
      <w:pPr>
        <w:shd w:val="clear" w:color="auto" w:fill="FFFFFF"/>
        <w:spacing w:line="286" w:lineRule="atLeast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016FDA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MISSING PLAN</w:t>
      </w:r>
      <w:bookmarkStart w:id="0" w:name="_GoBack"/>
      <w:bookmarkEnd w:id="0"/>
    </w:p>
    <w:sectPr w:rsidR="00391C1F" w:rsidRPr="00016FDA" w:rsidSect="00755018">
      <w:pgSz w:w="16840" w:h="11900" w:orient="landscape"/>
      <w:pgMar w:top="720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ED4"/>
    <w:multiLevelType w:val="multilevel"/>
    <w:tmpl w:val="E03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46CCC"/>
    <w:multiLevelType w:val="hybridMultilevel"/>
    <w:tmpl w:val="39A0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68C"/>
    <w:multiLevelType w:val="multilevel"/>
    <w:tmpl w:val="537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00CE8"/>
    <w:multiLevelType w:val="multilevel"/>
    <w:tmpl w:val="ADA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35E1A"/>
    <w:multiLevelType w:val="multilevel"/>
    <w:tmpl w:val="ACE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36559"/>
    <w:multiLevelType w:val="multilevel"/>
    <w:tmpl w:val="A3D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94D74"/>
    <w:multiLevelType w:val="multilevel"/>
    <w:tmpl w:val="44D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95691"/>
    <w:multiLevelType w:val="multilevel"/>
    <w:tmpl w:val="A6C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95004"/>
    <w:multiLevelType w:val="multilevel"/>
    <w:tmpl w:val="CC6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2CAF"/>
    <w:multiLevelType w:val="multilevel"/>
    <w:tmpl w:val="052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A0587"/>
    <w:multiLevelType w:val="multilevel"/>
    <w:tmpl w:val="751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E0662"/>
    <w:multiLevelType w:val="multilevel"/>
    <w:tmpl w:val="17BE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51D8A"/>
    <w:multiLevelType w:val="multilevel"/>
    <w:tmpl w:val="E58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12FEF"/>
    <w:multiLevelType w:val="multilevel"/>
    <w:tmpl w:val="5C6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064FF"/>
    <w:multiLevelType w:val="multilevel"/>
    <w:tmpl w:val="C6B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9231A"/>
    <w:multiLevelType w:val="hybridMultilevel"/>
    <w:tmpl w:val="9032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A48EC"/>
    <w:multiLevelType w:val="multilevel"/>
    <w:tmpl w:val="B3E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3417C"/>
    <w:multiLevelType w:val="multilevel"/>
    <w:tmpl w:val="CCA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33964"/>
    <w:multiLevelType w:val="multilevel"/>
    <w:tmpl w:val="FCD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02DDB"/>
    <w:multiLevelType w:val="multilevel"/>
    <w:tmpl w:val="D300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70E1E"/>
    <w:multiLevelType w:val="multilevel"/>
    <w:tmpl w:val="7D6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912A3"/>
    <w:multiLevelType w:val="multilevel"/>
    <w:tmpl w:val="716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70C7C"/>
    <w:multiLevelType w:val="multilevel"/>
    <w:tmpl w:val="21E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B0634"/>
    <w:multiLevelType w:val="multilevel"/>
    <w:tmpl w:val="3B0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13"/>
  </w:num>
  <w:num w:numId="12">
    <w:abstractNumId w:val="7"/>
  </w:num>
  <w:num w:numId="13">
    <w:abstractNumId w:val="22"/>
  </w:num>
  <w:num w:numId="14">
    <w:abstractNumId w:val="9"/>
  </w:num>
  <w:num w:numId="15">
    <w:abstractNumId w:val="4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23"/>
  </w:num>
  <w:num w:numId="22">
    <w:abstractNumId w:val="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F"/>
    <w:rsid w:val="00016FDA"/>
    <w:rsid w:val="001165A8"/>
    <w:rsid w:val="00192D20"/>
    <w:rsid w:val="00222831"/>
    <w:rsid w:val="00267685"/>
    <w:rsid w:val="00391C1F"/>
    <w:rsid w:val="00525E55"/>
    <w:rsid w:val="00737920"/>
    <w:rsid w:val="007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B1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C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1C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1C1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C1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1C1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1C1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391C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C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1C1F"/>
  </w:style>
  <w:style w:type="character" w:customStyle="1" w:styleId="ref">
    <w:name w:val="ref"/>
    <w:basedOn w:val="DefaultParagraphFont"/>
    <w:rsid w:val="00391C1F"/>
  </w:style>
  <w:style w:type="paragraph" w:styleId="BalloonText">
    <w:name w:val="Balloon Text"/>
    <w:basedOn w:val="Normal"/>
    <w:link w:val="BalloonTextChar"/>
    <w:uiPriority w:val="99"/>
    <w:semiHidden/>
    <w:unhideWhenUsed/>
    <w:rsid w:val="00391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C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1C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1C1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C1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1C1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1C1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391C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C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1C1F"/>
  </w:style>
  <w:style w:type="character" w:customStyle="1" w:styleId="ref">
    <w:name w:val="ref"/>
    <w:basedOn w:val="DefaultParagraphFont"/>
    <w:rsid w:val="00391C1F"/>
  </w:style>
  <w:style w:type="paragraph" w:styleId="BalloonText">
    <w:name w:val="Balloon Text"/>
    <w:basedOn w:val="Normal"/>
    <w:link w:val="BalloonTextChar"/>
    <w:uiPriority w:val="99"/>
    <w:semiHidden/>
    <w:unhideWhenUsed/>
    <w:rsid w:val="00391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0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1102</Words>
  <Characters>6286</Characters>
  <Application>Microsoft Macintosh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3</cp:revision>
  <dcterms:created xsi:type="dcterms:W3CDTF">2015-01-19T23:44:00Z</dcterms:created>
  <dcterms:modified xsi:type="dcterms:W3CDTF">2015-01-19T23:46:00Z</dcterms:modified>
</cp:coreProperties>
</file>