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FF" w:rsidRPr="002F3695" w:rsidRDefault="006024FF" w:rsidP="006024F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369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DATA 1 – STAGE 1</w:t>
      </w:r>
    </w:p>
    <w:p w:rsidR="006024FF" w:rsidRPr="002F3695" w:rsidRDefault="006024FF" w:rsidP="00FC6FB8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369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024FF" w:rsidRPr="00FC6FB8" w:rsidRDefault="006024FF" w:rsidP="00FC6FB8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C6FB8">
        <w:rPr>
          <w:rFonts w:asciiTheme="majorHAnsi" w:eastAsia="Times New Roman" w:hAnsiTheme="majorHAnsi" w:cs="Times New Roman"/>
        </w:rPr>
        <w:t>A student:</w:t>
      </w:r>
    </w:p>
    <w:p w:rsidR="006024FF" w:rsidRPr="00FC6FB8" w:rsidRDefault="006024FF" w:rsidP="00FC6FB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6024FF" w:rsidRPr="00FC6FB8" w:rsidRDefault="006024FF" w:rsidP="00FC6FB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6024FF" w:rsidRDefault="006024FF" w:rsidP="00FC6FB8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MA1-17SP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gathers and organises data, displays data in lists, tables and picture graphs, and interprets the results</w:t>
      </w:r>
    </w:p>
    <w:p w:rsidR="00FC6FB8" w:rsidRPr="00FC6FB8" w:rsidRDefault="00FC6FB8" w:rsidP="00FC6FB8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160839">
            <w:pPr>
              <w:shd w:val="clear" w:color="auto" w:fill="FFFFFF"/>
              <w:spacing w:after="150" w:line="240" w:lineRule="atLeast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173AEC" w:rsidRPr="002F3695" w:rsidRDefault="00173AEC" w:rsidP="002F3695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369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Choose simple questions and gather responses </w:t>
            </w:r>
            <w:r w:rsidRPr="002F369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(ACMSP262)</w:t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matter of interest by choosing suitable questions to obtain appropriate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data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gather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and track what has been counted by using concrete materials, tally marks, words or symbols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8915FFF" wp14:editId="6C1C8E3A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2, 3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6024F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6024F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Represent data with objects and drawings where one object or drawing represents one data value and describe the displays </w:t>
            </w:r>
            <w:r w:rsidRPr="002F369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(ACMSP263)</w:t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concrete materials or pictures of objects as symbols to create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displays'"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data displays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where one object or picture represents one data value (</w:t>
            </w:r>
            <w:r>
              <w:fldChar w:fldCharType="begin"/>
            </w:r>
            <w:r>
              <w:instrText xml:space="preserve"> HYPERLINK "http://syllabus.bos.nsw.edu.au/glossary/mat/one-to-one-correspondence/?ajax" \t "_blank" \o "Click for more information about 'one-to-one correspondence'"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one-to-one correspondence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use different-coloured blocks to represent different-coloured cars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894A0C" wp14:editId="13EA7552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1, 2, 3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data display created from concrete materials or pictures of objects (Communicating)</w:t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presented in data displays where one object, picture or drawing represents one data value,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weather charts</w:t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presented in simple data displays using comparative language such as 'more than' and 'less than',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'There were more black cars than red cars' (Communicating, Reasoning)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4A37ECB" wp14:editId="2F43E779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1, 3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interpretations of information presented in data displays,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'More children like dogs because there are more dog pictures than cat pictures' (Communicating, Reasoning)</w:t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2F700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write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simple sentence to describe data in a display,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most popular fruit snack is an apple' (Communicating)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B13C97F" wp14:editId="2126045A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2F700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FC6FB8" w:rsidRDefault="00FC6FB8">
      <w:pPr>
        <w:rPr>
          <w:rFonts w:asciiTheme="majorHAnsi" w:hAnsiTheme="majorHAnsi"/>
        </w:rPr>
      </w:pPr>
    </w:p>
    <w:p w:rsidR="00737920" w:rsidRPr="002F3695" w:rsidRDefault="00FC6FB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024FF" w:rsidRPr="00934022" w:rsidRDefault="006024FF" w:rsidP="006024F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3402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DATA 2 – STAGE 1</w:t>
      </w:r>
    </w:p>
    <w:p w:rsidR="006024FF" w:rsidRPr="00934022" w:rsidRDefault="006024FF" w:rsidP="00FC6FB8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3402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024FF" w:rsidRPr="00FC6FB8" w:rsidRDefault="006024FF" w:rsidP="00FC6FB8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C6FB8">
        <w:rPr>
          <w:rFonts w:asciiTheme="majorHAnsi" w:eastAsia="Times New Roman" w:hAnsiTheme="majorHAnsi" w:cs="Times New Roman"/>
        </w:rPr>
        <w:t>A student:</w:t>
      </w:r>
    </w:p>
    <w:p w:rsidR="006024FF" w:rsidRPr="00FC6FB8" w:rsidRDefault="006024FF" w:rsidP="00FC6FB8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6024FF" w:rsidRPr="00FC6FB8" w:rsidRDefault="006024FF" w:rsidP="00FC6FB8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MA1-2WM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uses objects, diagrams and technology to explore mathematical problems</w:t>
      </w:r>
    </w:p>
    <w:p w:rsidR="006024FF" w:rsidRPr="00FC6FB8" w:rsidRDefault="006024FF" w:rsidP="00FC6FB8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6024FF" w:rsidRDefault="006024FF" w:rsidP="00FC6FB8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C6FB8">
        <w:rPr>
          <w:rFonts w:asciiTheme="majorHAnsi" w:eastAsia="Times New Roman" w:hAnsiTheme="majorHAnsi" w:cs="Times New Roman"/>
          <w:sz w:val="18"/>
          <w:szCs w:val="18"/>
        </w:rPr>
        <w:t>MA1-17SP</w:t>
      </w:r>
      <w:r w:rsidR="00FC6FB8" w:rsidRPr="00FC6FB8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C6FB8">
        <w:rPr>
          <w:rFonts w:asciiTheme="majorHAnsi" w:hAnsiTheme="majorHAnsi" w:cs="Times New Roman"/>
          <w:sz w:val="20"/>
          <w:szCs w:val="20"/>
        </w:rPr>
        <w:t>gathers and organises data, displays data in lists, tables and picture graphs, and interprets the results</w:t>
      </w:r>
    </w:p>
    <w:p w:rsidR="00FC6FB8" w:rsidRPr="00FC6FB8" w:rsidRDefault="00FC6FB8" w:rsidP="00FC6FB8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934022" w:rsidRDefault="00173AEC" w:rsidP="0093402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93402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173AEC" w:rsidRPr="00934022" w:rsidRDefault="00173AEC" w:rsidP="0093402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340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Identify a question of interest based on one </w:t>
            </w:r>
            <w:r>
              <w:fldChar w:fldCharType="begin"/>
            </w:r>
            <w:r>
              <w:instrText xml:space="preserve"> HYPERLINK "http://syllabus.bos.nsw.edu.au/glossary/mat/categorical-variable/?ajax" \t "_blank" \o "Click for more information about 'categorical variable'"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categorical variable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gather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relevant to the question </w:t>
            </w:r>
            <w:r w:rsidRPr="002F369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(ACMSP048)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pose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suitable questions that will elicit categorical answers and gather the data,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'Which school sport is the most popular with our class members?', 'How did each student in our class get to school today?'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6BE6BD0" wp14:editId="223AD950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likely responses within data to be collected (Reasoning)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what data to gather in order to investigate a question of interest,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colour, mode of transport, gender, type of animal, sport (Problem Solving)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6AFA83B" wp14:editId="5BD5B4ED">
                  <wp:extent cx="203200" cy="203200"/>
                  <wp:effectExtent l="0" t="0" r="0" b="0"/>
                  <wp:docPr id="10" name="Picture 1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6024F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340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Collect, check and classify data </w:t>
            </w:r>
            <w:r w:rsidRPr="002F369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(ACMSP049)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collect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on familiar topics through questioning,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'How many students are in our class each day this week?'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8ACB9B" wp14:editId="57B1B52D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tally marks to assist with data collection (Communicating)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4, 5, 6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categories of data and use them to sort data,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sort data collected on attendance by day of the week and into boys and girls present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7805E35" wp14:editId="72AAEF71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2B0BA3D" wp14:editId="70E5771F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340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Create displays of data using lists, tables and </w:t>
            </w:r>
            <w:r>
              <w:fldChar w:fldCharType="begin"/>
            </w:r>
            <w:r>
              <w:instrText xml:space="preserve"> HYPERLINK "http://syllabus.bos.nsw.edu.au/glossary/mat/picture-graphs/?ajax" \t "_blank" \o "Click for more information about 'picture graphs'"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picture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2F369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interpret them </w:t>
            </w:r>
            <w:r w:rsidRPr="002F369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(ACMSP050)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in a picture graph using a baseline, equal spacing, same-sized symbols and a key indicating </w:t>
            </w:r>
            <w:r>
              <w:fldChar w:fldCharType="begin"/>
            </w:r>
            <w:r>
              <w:instrText xml:space="preserve"> HYPERLINK "http://syllabus.bos.nsw.edu.au/glossary/mat/one-to-one-correspondence/?ajax" \t "_blank" \o "Click for more information about 'one-to-one correspondence'" </w:instrText>
            </w:r>
            <w:r>
              <w:fldChar w:fldCharType="separate"/>
            </w:r>
            <w:r w:rsidRPr="002F369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one-to-one correspondence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misleading representations of data in a picture graph,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where the symbol used to represent one item is shown in different sizes or where symbols are not equally spaced (Reasoning)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E17CC9C" wp14:editId="62114952">
                  <wp:extent cx="203200" cy="203200"/>
                  <wp:effectExtent l="0" t="0" r="0" b="0"/>
                  <wp:docPr id="14" name="Picture 1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C36C806" wp14:editId="6CA463F8">
                  <wp:extent cx="203200" cy="203200"/>
                  <wp:effectExtent l="0" t="0" r="0" b="0"/>
                  <wp:docPr id="15" name="Picture 15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digital technologies to create picture graphs (Communicating)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99C2078" wp14:editId="759693B3">
                  <wp:extent cx="203200" cy="203200"/>
                  <wp:effectExtent l="0" t="0" r="0" b="0"/>
                  <wp:docPr id="16" name="Picture 1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display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using lists and tables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AD40D3" wp14:editId="0D9CAFCE">
                  <wp:extent cx="203200" cy="203200"/>
                  <wp:effectExtent l="0" t="0" r="0" b="0"/>
                  <wp:docPr id="17" name="Picture 1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use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displays to communicate information gathered in other learning areas, </w:t>
            </w:r>
            <w:proofErr w:type="spell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data gathered in a unit on families or local places (Communicating)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111A72" wp14:editId="5E30727C">
                  <wp:extent cx="203200" cy="203200"/>
                  <wp:effectExtent l="0" t="0" r="0" b="0"/>
                  <wp:docPr id="18" name="Picture 1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3A4EE8B" wp14:editId="696008C2">
                  <wp:extent cx="203200" cy="203200"/>
                  <wp:effectExtent l="0" t="0" r="0" b="0"/>
                  <wp:docPr id="19" name="Picture 19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43CF882" wp14:editId="52165AA2">
                  <wp:extent cx="203200" cy="203200"/>
                  <wp:effectExtent l="0" t="0" r="0" b="0"/>
                  <wp:docPr id="20" name="Picture 20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presented in lists, tables and picture graphs</w:t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4, 5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displayed in simple tables and picture graphs found in books and created by other students (Communicating)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E9FD6AA" wp14:editId="14FAFB1F">
                  <wp:extent cx="203200" cy="203200"/>
                  <wp:effectExtent l="0" t="0" r="0" b="0"/>
                  <wp:docPr id="21" name="Picture 2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173AEC" w:rsidRPr="002F3695" w:rsidTr="00173AEC">
        <w:trPr>
          <w:jc w:val="center"/>
        </w:trPr>
        <w:tc>
          <w:tcPr>
            <w:tcW w:w="12157" w:type="dxa"/>
          </w:tcPr>
          <w:p w:rsidR="00173AEC" w:rsidRPr="002F3695" w:rsidRDefault="00173AEC" w:rsidP="0092295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2F369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observations based on tables and picture graphs developed from collected data </w:t>
            </w:r>
            <w:r w:rsidRPr="002F369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B80930C" wp14:editId="0E963BCF">
                  <wp:extent cx="203200" cy="203200"/>
                  <wp:effectExtent l="0" t="0" r="0" b="0"/>
                  <wp:docPr id="22" name="Picture 2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73AEC" w:rsidRPr="002F3695" w:rsidRDefault="00173AEC" w:rsidP="0092295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</w:tbl>
    <w:p w:rsidR="006024FF" w:rsidRPr="002F3695" w:rsidRDefault="006024FF" w:rsidP="006024FF">
      <w:pPr>
        <w:rPr>
          <w:rFonts w:asciiTheme="majorHAnsi" w:hAnsiTheme="majorHAnsi"/>
        </w:rPr>
      </w:pPr>
      <w:bookmarkStart w:id="0" w:name="_GoBack"/>
      <w:bookmarkEnd w:id="0"/>
    </w:p>
    <w:sectPr w:rsidR="006024FF" w:rsidRPr="002F3695" w:rsidSect="002F3695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67"/>
    <w:multiLevelType w:val="multilevel"/>
    <w:tmpl w:val="78DE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7385"/>
    <w:multiLevelType w:val="multilevel"/>
    <w:tmpl w:val="2C1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C0D84"/>
    <w:multiLevelType w:val="multilevel"/>
    <w:tmpl w:val="5CF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0D5C"/>
    <w:multiLevelType w:val="multilevel"/>
    <w:tmpl w:val="7B9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54A4A"/>
    <w:multiLevelType w:val="multilevel"/>
    <w:tmpl w:val="8564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D0E6C"/>
    <w:multiLevelType w:val="multilevel"/>
    <w:tmpl w:val="FC2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65E7E"/>
    <w:multiLevelType w:val="multilevel"/>
    <w:tmpl w:val="ADA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562AF"/>
    <w:multiLevelType w:val="multilevel"/>
    <w:tmpl w:val="47B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A2B6A"/>
    <w:multiLevelType w:val="multilevel"/>
    <w:tmpl w:val="583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A5B0D"/>
    <w:multiLevelType w:val="multilevel"/>
    <w:tmpl w:val="964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96838"/>
    <w:multiLevelType w:val="hybridMultilevel"/>
    <w:tmpl w:val="FF668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324A96"/>
    <w:multiLevelType w:val="multilevel"/>
    <w:tmpl w:val="641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E2EC6"/>
    <w:multiLevelType w:val="hybridMultilevel"/>
    <w:tmpl w:val="1E96B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34519"/>
    <w:multiLevelType w:val="multilevel"/>
    <w:tmpl w:val="1F9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24DE9"/>
    <w:multiLevelType w:val="multilevel"/>
    <w:tmpl w:val="75B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01D54"/>
    <w:multiLevelType w:val="multilevel"/>
    <w:tmpl w:val="870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95E4F"/>
    <w:multiLevelType w:val="multilevel"/>
    <w:tmpl w:val="83D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F0D4C"/>
    <w:multiLevelType w:val="multilevel"/>
    <w:tmpl w:val="BA7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F3E1D"/>
    <w:multiLevelType w:val="multilevel"/>
    <w:tmpl w:val="259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B0C19"/>
    <w:multiLevelType w:val="multilevel"/>
    <w:tmpl w:val="960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B5650"/>
    <w:multiLevelType w:val="multilevel"/>
    <w:tmpl w:val="0C2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0440A"/>
    <w:multiLevelType w:val="multilevel"/>
    <w:tmpl w:val="0C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25149"/>
    <w:multiLevelType w:val="multilevel"/>
    <w:tmpl w:val="66B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32962"/>
    <w:multiLevelType w:val="multilevel"/>
    <w:tmpl w:val="8B5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65AD5"/>
    <w:multiLevelType w:val="multilevel"/>
    <w:tmpl w:val="B9F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40250"/>
    <w:multiLevelType w:val="multilevel"/>
    <w:tmpl w:val="CEF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24"/>
  </w:num>
  <w:num w:numId="11">
    <w:abstractNumId w:val="11"/>
  </w:num>
  <w:num w:numId="12">
    <w:abstractNumId w:val="14"/>
  </w:num>
  <w:num w:numId="13">
    <w:abstractNumId w:val="25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4"/>
  </w:num>
  <w:num w:numId="19">
    <w:abstractNumId w:val="21"/>
  </w:num>
  <w:num w:numId="20">
    <w:abstractNumId w:val="3"/>
  </w:num>
  <w:num w:numId="21">
    <w:abstractNumId w:val="19"/>
  </w:num>
  <w:num w:numId="22">
    <w:abstractNumId w:val="8"/>
  </w:num>
  <w:num w:numId="23">
    <w:abstractNumId w:val="23"/>
  </w:num>
  <w:num w:numId="24">
    <w:abstractNumId w:val="2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1165A8"/>
    <w:rsid w:val="00160839"/>
    <w:rsid w:val="00173AEC"/>
    <w:rsid w:val="00267685"/>
    <w:rsid w:val="002F3695"/>
    <w:rsid w:val="006024FF"/>
    <w:rsid w:val="00737920"/>
    <w:rsid w:val="00934022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4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4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24F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4F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4F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24F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024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24FF"/>
  </w:style>
  <w:style w:type="character" w:customStyle="1" w:styleId="ref">
    <w:name w:val="ref"/>
    <w:basedOn w:val="DefaultParagraphFont"/>
    <w:rsid w:val="006024FF"/>
  </w:style>
  <w:style w:type="character" w:styleId="Hyperlink">
    <w:name w:val="Hyperlink"/>
    <w:basedOn w:val="DefaultParagraphFont"/>
    <w:uiPriority w:val="99"/>
    <w:semiHidden/>
    <w:unhideWhenUsed/>
    <w:rsid w:val="0060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4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4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24F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4F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4F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24F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024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24FF"/>
  </w:style>
  <w:style w:type="character" w:customStyle="1" w:styleId="ref">
    <w:name w:val="ref"/>
    <w:basedOn w:val="DefaultParagraphFont"/>
    <w:rsid w:val="006024FF"/>
  </w:style>
  <w:style w:type="character" w:styleId="Hyperlink">
    <w:name w:val="Hyperlink"/>
    <w:basedOn w:val="DefaultParagraphFont"/>
    <w:uiPriority w:val="99"/>
    <w:semiHidden/>
    <w:unhideWhenUsed/>
    <w:rsid w:val="0060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Macintosh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2015-01-19T23:22:00Z</dcterms:created>
  <dcterms:modified xsi:type="dcterms:W3CDTF">2015-01-19T23:22:00Z</dcterms:modified>
</cp:coreProperties>
</file>