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8F" w:rsidRPr="00E50535" w:rsidRDefault="004B4F8F" w:rsidP="004B4F8F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E50535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FRACTIONS AND DECIMALS 1 – STAGE 3</w:t>
      </w:r>
    </w:p>
    <w:p w:rsidR="004B4F8F" w:rsidRPr="00E50535" w:rsidRDefault="004B4F8F" w:rsidP="00FD01B9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E50535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B4F8F" w:rsidRPr="00E50535" w:rsidRDefault="004B4F8F" w:rsidP="00FD01B9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  <w:sz w:val="28"/>
          <w:szCs w:val="28"/>
        </w:rPr>
      </w:pPr>
      <w:r w:rsidRPr="00FD01B9">
        <w:rPr>
          <w:rFonts w:asciiTheme="majorHAnsi" w:eastAsia="Times New Roman" w:hAnsiTheme="majorHAnsi" w:cs="Times New Roman"/>
          <w:szCs w:val="28"/>
        </w:rPr>
        <w:t>A student:</w:t>
      </w:r>
    </w:p>
    <w:p w:rsidR="004B4F8F" w:rsidRPr="00FD01B9" w:rsidRDefault="004B4F8F" w:rsidP="00FD01B9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D01B9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FD01B9" w:rsidRPr="00FD01B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D01B9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4B4F8F" w:rsidRPr="00FD01B9" w:rsidRDefault="004B4F8F" w:rsidP="00FD01B9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D01B9">
        <w:rPr>
          <w:rFonts w:asciiTheme="majorHAnsi" w:eastAsia="Times New Roman" w:hAnsiTheme="majorHAnsi" w:cs="Times New Roman"/>
          <w:sz w:val="18"/>
          <w:szCs w:val="18"/>
        </w:rPr>
        <w:t>MA3-2WM</w:t>
      </w:r>
      <w:r w:rsidR="00FD01B9" w:rsidRPr="00FD01B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D01B9">
        <w:rPr>
          <w:rFonts w:asciiTheme="majorHAnsi" w:hAnsiTheme="majorHAnsi" w:cs="Times New Roman"/>
          <w:sz w:val="20"/>
          <w:szCs w:val="20"/>
        </w:rPr>
        <w:t>selects and applies appropriate problem-solving strategies, including the use of digital technologies, in undertaking investigations</w:t>
      </w:r>
    </w:p>
    <w:p w:rsidR="004B4F8F" w:rsidRPr="00FD01B9" w:rsidRDefault="004B4F8F" w:rsidP="00FD01B9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D01B9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FD01B9" w:rsidRPr="00FD01B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D01B9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:rsidR="004B4F8F" w:rsidRDefault="004B4F8F" w:rsidP="00FD01B9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D01B9">
        <w:rPr>
          <w:rFonts w:asciiTheme="majorHAnsi" w:eastAsia="Times New Roman" w:hAnsiTheme="majorHAnsi" w:cs="Times New Roman"/>
          <w:sz w:val="18"/>
          <w:szCs w:val="18"/>
        </w:rPr>
        <w:t>MA3-7NA</w:t>
      </w:r>
      <w:r w:rsidR="00FD01B9" w:rsidRPr="00FD01B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D01B9">
        <w:rPr>
          <w:rFonts w:asciiTheme="majorHAnsi" w:hAnsiTheme="majorHAnsi" w:cs="Times New Roman"/>
          <w:sz w:val="20"/>
          <w:szCs w:val="20"/>
        </w:rPr>
        <w:t>compares, orders and calculates with fractions, decimals and percentages</w:t>
      </w:r>
    </w:p>
    <w:p w:rsidR="00FD01B9" w:rsidRPr="00FD01B9" w:rsidRDefault="00FD01B9" w:rsidP="00FD01B9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2364"/>
        <w:gridCol w:w="1134"/>
      </w:tblGrid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E50535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34" w:type="dxa"/>
          </w:tcPr>
          <w:p w:rsidR="00A1341E" w:rsidRPr="00E50535" w:rsidRDefault="00A1341E" w:rsidP="00E50535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 and order common </w:t>
            </w:r>
            <w:r>
              <w:fldChar w:fldCharType="begin"/>
            </w:r>
            <w:r>
              <w:instrText xml:space="preserve"> HYPERLINK "http://syllabus.bos.nsw.edu.au/glossary/mat/unit-fraction/?ajax" \t "_blank" \o "Click for more information about 'unit fractions'"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unit fractions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locate and represent them on a </w:t>
            </w:r>
            <w:r>
              <w:fldChar w:fldCharType="begin"/>
            </w:r>
            <w:r>
              <w:instrText xml:space="preserve"> HYPERLINK "http://syllabus.bos.nsw.edu.au/glossary/mat/number-line/?ajax" \t "_blank" \o "Click for more information about 'number line'"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number line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(ACMNA102)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place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fractions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with </w:t>
            </w:r>
            <w:r>
              <w:fldChar w:fldCharType="begin"/>
            </w:r>
            <w:r>
              <w:instrText xml:space="preserve"> HYPERLINK "http://syllabus.bos.nsw.edu.au/glossary/mat/denominator/?ajax" \t "_blank" \o "Click for more information about 'denominators'"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denominators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of 2, 3, 4, 5, 6, 8, 10 and 12 on a number line between 0 and 1,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unit fractions with denominators of 2, 3, 4, 5, 6, 8, 10, 12 and 100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867FD1B" wp14:editId="2865D432">
                  <wp:extent cx="203200" cy="203200"/>
                  <wp:effectExtent l="0" t="0" r="0" b="0"/>
                  <wp:docPr id="2" name="Picture 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relative value of unit fractions by placing them on a number line between 0 and 1 (Communicating, Reasoning)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investigate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explain the relationship between the value of a unit fraction and its denominator (Communicating, Reasoning)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58A3E68" wp14:editId="0388F71F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1341E" w:rsidRPr="00E50535" w:rsidTr="00A1341E">
        <w:trPr>
          <w:trHeight w:hRule="exact" w:val="340"/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 xml:space="preserve">Investigate strategies to solve problems involving addition and subtraction of fractions with the same </w:t>
            </w:r>
            <w:proofErr w:type="gramStart"/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denominator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ACMNA103)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trHeight w:hRule="exact" w:val="397"/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'proper fractions' as fractions in which the </w:t>
            </w:r>
            <w:r>
              <w:fldChar w:fldCharType="begin"/>
            </w:r>
            <w:r>
              <w:instrText xml:space="preserve"> HYPERLINK "http://syllabus.bos.nsw.edu.au/glossary/mat/numerator/?ajax" \t "_blank" \o "Click for more information about 'numerator'"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numerator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is less than the denominator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87D23D9" wp14:editId="33D50F87">
                  <wp:extent cx="203200" cy="203200"/>
                  <wp:effectExtent l="0" t="0" r="0" b="0"/>
                  <wp:docPr id="4" name="Picture 4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1341E" w:rsidRPr="00E50535" w:rsidTr="00A1341E">
        <w:trPr>
          <w:trHeight w:hRule="exact" w:val="397"/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describe 'improper fractions' as fractions in which the numerator is greater than the denominator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FC183C4" wp14:editId="0DE8A1E4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1341E" w:rsidRPr="00E50535" w:rsidTr="00A1341E">
        <w:trPr>
          <w:trHeight w:hRule="exact" w:val="397"/>
          <w:jc w:val="center"/>
        </w:trPr>
        <w:tc>
          <w:tcPr>
            <w:tcW w:w="12364" w:type="dxa"/>
          </w:tcPr>
          <w:p w:rsidR="00A1341E" w:rsidRPr="00E50535" w:rsidRDefault="00A1341E" w:rsidP="00E5053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express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mixed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as improper fractions and vice versa, through the use of diagrams and number lines, leading to a mental strategy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eastAsia="en-AU"/>
              </w:rPr>
              <w:t xml:space="preserve"> 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0975755" wp14:editId="38FE37DD">
                  <wp:extent cx="203200" cy="203200"/>
                  <wp:effectExtent l="0" t="0" r="0" b="0"/>
                  <wp:docPr id="7" name="Picture 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E50535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model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represent strategies, including using diagrams, to add proper fractions with the same denominator, where the result may be a mixed numeral, 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model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represent a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 number'"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whole number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 added to a proper fraction, 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subtract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a proper fraction from another proper fraction with the same denominator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model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represent strategies, including using diagrams, to add mixed numerals with the same denominator,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diagrams, and mental and written strategies, to subtract a unit fraction from any whole number including 1,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word problems that involve addition and subtraction of fractions with the same denominator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estimation to verify that an answer is reasonable (Problem Solving, Reasoning)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BB1E6EA" wp14:editId="42F45961">
                  <wp:extent cx="203200" cy="203200"/>
                  <wp:effectExtent l="0" t="0" r="0" b="0"/>
                  <wp:docPr id="21" name="Picture 2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Recognise that the </w:t>
            </w:r>
            <w:r>
              <w:fldChar w:fldCharType="begin"/>
            </w:r>
            <w:r>
              <w:instrText xml:space="preserve"> HYPERLINK "http://syllabus.bos.nsw.edu.au/glossary/mat/place-value/?ajax" \t "_blank" \o "Click for more information about 'place value'"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place value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system can be extended beyond hundredths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(ACMNA104)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express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thousandths as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decimals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decimal notation for thousandths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state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place value of digits in decimal numbers of up to three decimal places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Compare, order and represent decimals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(ACMNA105)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decimal numbers of up to three decimal places,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0.5, 0.125, 0.25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315A4D2" wp14:editId="6060EA2C">
                  <wp:extent cx="203200" cy="203200"/>
                  <wp:effectExtent l="0" t="0" r="0" b="0"/>
                  <wp:docPr id="23" name="Picture 2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zero digit(s) at the end of a decimal,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0.170 has the same value as 0.17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A1341E" w:rsidRPr="00E50535" w:rsidTr="00A1341E">
        <w:trPr>
          <w:jc w:val="center"/>
        </w:trPr>
        <w:tc>
          <w:tcPr>
            <w:tcW w:w="1236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place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decimal numbers of up to three decimal places on a number line between 0 and 1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</w:p>
        </w:tc>
      </w:tr>
    </w:tbl>
    <w:p w:rsidR="00E50535" w:rsidRDefault="00E50535" w:rsidP="004B4F8F">
      <w:pPr>
        <w:shd w:val="clear" w:color="auto" w:fill="FFFFFF"/>
        <w:spacing w:line="286" w:lineRule="atLeast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p w:rsidR="00E50535" w:rsidRDefault="00E50535">
      <w:pPr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>
        <w:rPr>
          <w:rFonts w:asciiTheme="majorHAnsi" w:eastAsia="Times New Roman" w:hAnsiTheme="majorHAnsi" w:cs="Times New Roman"/>
          <w:color w:val="000000"/>
          <w:sz w:val="21"/>
          <w:szCs w:val="21"/>
        </w:rPr>
        <w:br w:type="page"/>
      </w:r>
    </w:p>
    <w:p w:rsidR="004B4F8F" w:rsidRPr="00E50535" w:rsidRDefault="00FA7E6A" w:rsidP="00FA7E6A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E50535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lastRenderedPageBreak/>
        <w:t>F</w:t>
      </w:r>
      <w:r w:rsidR="004B4F8F" w:rsidRPr="00E50535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RACTIONS AND DECIMALS 2</w:t>
      </w:r>
      <w:r w:rsidRPr="00E50535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 xml:space="preserve"> – STAGE 3</w:t>
      </w:r>
    </w:p>
    <w:p w:rsidR="004B4F8F" w:rsidRPr="00E50535" w:rsidRDefault="004B4F8F" w:rsidP="00FD01B9">
      <w:pPr>
        <w:shd w:val="clear" w:color="auto" w:fill="FFFFFF"/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E50535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4B4F8F" w:rsidRPr="00FD01B9" w:rsidRDefault="004B4F8F" w:rsidP="00FD01B9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FD01B9">
        <w:rPr>
          <w:rFonts w:asciiTheme="majorHAnsi" w:eastAsia="Times New Roman" w:hAnsiTheme="majorHAnsi" w:cs="Times New Roman"/>
        </w:rPr>
        <w:t>A student:</w:t>
      </w:r>
    </w:p>
    <w:p w:rsidR="004B4F8F" w:rsidRPr="00FD01B9" w:rsidRDefault="004B4F8F" w:rsidP="00FD01B9">
      <w:pPr>
        <w:numPr>
          <w:ilvl w:val="0"/>
          <w:numId w:val="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D01B9">
        <w:rPr>
          <w:rFonts w:asciiTheme="majorHAnsi" w:eastAsia="Times New Roman" w:hAnsiTheme="majorHAnsi" w:cs="Times New Roman"/>
          <w:sz w:val="18"/>
          <w:szCs w:val="18"/>
        </w:rPr>
        <w:t>MA3-1WM</w:t>
      </w:r>
      <w:r w:rsidR="00FD01B9" w:rsidRPr="00FD01B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D01B9">
        <w:rPr>
          <w:rFonts w:asciiTheme="majorHAnsi" w:hAnsiTheme="majorHAnsi" w:cs="Times New Roman"/>
          <w:sz w:val="20"/>
          <w:szCs w:val="20"/>
        </w:rPr>
        <w:t>describes and represents mathematical situations in a variety of ways using mathematical terminology and some conventions</w:t>
      </w:r>
    </w:p>
    <w:p w:rsidR="004B4F8F" w:rsidRPr="00FD01B9" w:rsidRDefault="004B4F8F" w:rsidP="00FD01B9">
      <w:pPr>
        <w:numPr>
          <w:ilvl w:val="0"/>
          <w:numId w:val="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D01B9">
        <w:rPr>
          <w:rFonts w:asciiTheme="majorHAnsi" w:eastAsia="Times New Roman" w:hAnsiTheme="majorHAnsi" w:cs="Times New Roman"/>
          <w:sz w:val="18"/>
          <w:szCs w:val="18"/>
        </w:rPr>
        <w:t>MA3-2WM</w:t>
      </w:r>
      <w:r w:rsidR="00FD01B9" w:rsidRPr="00FD01B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D01B9">
        <w:rPr>
          <w:rFonts w:asciiTheme="majorHAnsi" w:hAnsiTheme="majorHAnsi" w:cs="Times New Roman"/>
          <w:sz w:val="20"/>
          <w:szCs w:val="20"/>
        </w:rPr>
        <w:t>selects and applies appropriate problem-solving strategies, including the use of digital technologies, in undertaking investigations</w:t>
      </w:r>
    </w:p>
    <w:p w:rsidR="004B4F8F" w:rsidRPr="00FD01B9" w:rsidRDefault="004B4F8F" w:rsidP="00FD01B9">
      <w:pPr>
        <w:numPr>
          <w:ilvl w:val="0"/>
          <w:numId w:val="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D01B9">
        <w:rPr>
          <w:rFonts w:asciiTheme="majorHAnsi" w:eastAsia="Times New Roman" w:hAnsiTheme="majorHAnsi" w:cs="Times New Roman"/>
          <w:sz w:val="18"/>
          <w:szCs w:val="18"/>
        </w:rPr>
        <w:t>MA3-3WM</w:t>
      </w:r>
      <w:r w:rsidR="00FD01B9" w:rsidRPr="00FD01B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D01B9">
        <w:rPr>
          <w:rFonts w:asciiTheme="majorHAnsi" w:hAnsiTheme="majorHAnsi" w:cs="Times New Roman"/>
          <w:sz w:val="20"/>
          <w:szCs w:val="20"/>
        </w:rPr>
        <w:t>gives a valid reason for supporting one possible solution over another</w:t>
      </w:r>
    </w:p>
    <w:p w:rsidR="004B4F8F" w:rsidRDefault="004B4F8F" w:rsidP="00FD01B9">
      <w:pPr>
        <w:numPr>
          <w:ilvl w:val="0"/>
          <w:numId w:val="2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FD01B9">
        <w:rPr>
          <w:rFonts w:asciiTheme="majorHAnsi" w:eastAsia="Times New Roman" w:hAnsiTheme="majorHAnsi" w:cs="Times New Roman"/>
          <w:sz w:val="18"/>
          <w:szCs w:val="18"/>
        </w:rPr>
        <w:t>MA3-7NA</w:t>
      </w:r>
      <w:r w:rsidR="00FD01B9" w:rsidRPr="00FD01B9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FD01B9">
        <w:rPr>
          <w:rFonts w:asciiTheme="majorHAnsi" w:hAnsiTheme="majorHAnsi" w:cs="Times New Roman"/>
          <w:sz w:val="20"/>
          <w:szCs w:val="20"/>
        </w:rPr>
        <w:t>compares, orders and calculates with fractions, decimals and percentages</w:t>
      </w:r>
    </w:p>
    <w:p w:rsidR="00FD01B9" w:rsidRPr="00FD01B9" w:rsidRDefault="00FD01B9" w:rsidP="00FD01B9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2081"/>
        <w:gridCol w:w="1134"/>
      </w:tblGrid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134" w:type="dxa"/>
          </w:tcPr>
          <w:p w:rsidR="00A1341E" w:rsidRPr="00E50535" w:rsidRDefault="00A1341E" w:rsidP="00E50535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Compare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fractions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with </w:t>
            </w:r>
            <w:r>
              <w:fldChar w:fldCharType="begin"/>
            </w:r>
            <w:r>
              <w:instrText xml:space="preserve"> HYPERLINK "http://syllabus.bos.nsw.edu.au/glossary/mat/related-denominators/?ajax" \t "_blank" \o "Click for more information about 'related denominators'"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related denominators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and locate and represent them on a </w:t>
            </w:r>
            <w:r>
              <w:fldChar w:fldCharType="begin"/>
            </w:r>
            <w:r>
              <w:instrText xml:space="preserve"> HYPERLINK "http://syllabus.bos.nsw.edu.au/glossary/mat/number-line/?ajax" \t "_blank" \o "Click for more information about 'number line'"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t>number line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(ACMNA125)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model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, compare and represent fractions with </w:t>
            </w:r>
            <w:r>
              <w:fldChar w:fldCharType="begin"/>
            </w:r>
            <w:r>
              <w:instrText xml:space="preserve"> HYPERLINK "http://syllabus.bos.nsw.edu.au/glossary/mat/denominator/?ajax" \t "_blank" \o "Click for more information about 'denominator'"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denominator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2, 3, 4, 5, 6, 8, 10, 12 and 100 of a whole object, a whole shape and a collection of objects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relative size of fractions drawn on the same diagram,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(Reasoning)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2326EBC" wp14:editId="53CEEC8D">
                  <wp:extent cx="203200" cy="203200"/>
                  <wp:effectExtent l="0" t="0" r="0" b="0"/>
                  <wp:docPr id="26" name="Picture 2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order simple fractions with related denominators using strategies such as diagrams, the number line, </w:t>
            </w:r>
            <w:r w:rsidRPr="00FD01B9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or </w:t>
            </w:r>
            <w:r>
              <w:fldChar w:fldCharType="begin"/>
            </w:r>
            <w:r>
              <w:instrText xml:space="preserve"> HYPERLINK "http://syllabus.bos.nsw.edu.au/glossary/mat/equivalent-fractions/?ajax" \t "_blank" \o "Click for more information about 'equivalent fractions'" </w:instrText>
            </w:r>
            <w:r>
              <w:fldChar w:fldCharType="separate"/>
            </w:r>
            <w:r w:rsidRPr="00FD01B9">
              <w:rPr>
                <w:rFonts w:asciiTheme="majorHAnsi" w:eastAsia="Times New Roman" w:hAnsiTheme="majorHAnsi" w:cs="Times New Roman"/>
                <w:color w:val="0000FF"/>
                <w:sz w:val="18"/>
                <w:szCs w:val="18"/>
              </w:rPr>
              <w:t>equivalent fractions</w:t>
            </w:r>
            <w:r>
              <w:rPr>
                <w:rFonts w:asciiTheme="majorHAnsi" w:eastAsia="Times New Roman" w:hAnsiTheme="majorHAnsi" w:cs="Times New Roman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find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equivalent fractions by re-dividing the whole, using diagrams and number lines,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equivalent fractions using diagrams and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develop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mental strategies for generating equivalent fractions, such as </w:t>
            </w:r>
            <w:r>
              <w:fldChar w:fldCharType="begin"/>
            </w:r>
            <w:r>
              <w:instrText xml:space="preserve"> HYPERLINK "http://syllabus.bos.nsw.edu.au/glossary/mat/multiplication/?ajax" \t "_blank" \o "Click for more information about 'multiplying'"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multiplying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or dividing the </w:t>
            </w:r>
            <w:r>
              <w:fldChar w:fldCharType="begin"/>
            </w:r>
            <w:r>
              <w:instrText xml:space="preserve"> HYPERLINK "http://syllabus.bos.nsw.edu.au/glossary/mat/numerator/?ajax" \t "_blank" \o "Click for more information about 'numerator'"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numerator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the </w:t>
            </w:r>
            <w:r>
              <w:fldChar w:fldCharType="begin"/>
            </w:r>
            <w:r>
              <w:instrText xml:space="preserve"> HYPERLINK "http://syllabus.bos.nsw.edu.au/glossary/mat/denominator/?ajax" \t "_blank" \o "Click for more information about 'denominator'"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denominator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by the same number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or demonstrate why two fractions are or are not equivalent (Communicating, Reasoning)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455B749" wp14:editId="27655219">
                  <wp:extent cx="203200" cy="203200"/>
                  <wp:effectExtent l="0" t="0" r="0" b="0"/>
                  <wp:docPr id="31" name="Picture 3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write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fractions in their 'simplest form' by dividing the numerator and the denominator by a </w:t>
            </w:r>
            <w:r>
              <w:fldChar w:fldCharType="begin"/>
            </w:r>
            <w:r>
              <w:instrText xml:space="preserve"> HYPERLINK "http://syllabus.bos.nsw.edu.au/glossary/mat/common-factor/?ajax" \t "_blank" \o "Click for more information about 'common factor'"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common factor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a fraction in its simplest form represents the same value as the original fraction (Reasoning)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apply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knowledge of equivalent fractions to convert between units of time </w:t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(Problem Solving)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Solve problems involving addition and subtraction of fractions with the same or related denominators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(ACMNA126)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add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subtract fractions, including mixed numerals, where one denominator is the same as, or a </w:t>
            </w:r>
            <w:r>
              <w:fldChar w:fldCharType="begin"/>
            </w:r>
            <w:r>
              <w:instrText xml:space="preserve"> HYPERLINK "http://syllabus.bos.nsw.edu.au/glossary/mat/multiple/?ajax" \t "_blank" \o "Click for more information about 'multiple'"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multiple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of, the other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convert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 answer that is an improper fraction to a mixed numeral (Communicating)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knowledge of equivalence to simplify answers when adding and subtracting fractions (Communicating, Reasoning)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Missing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improper fractions may sometimes make calculations involving mixed numerals easier (Communicating)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12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word problems involving the addition and subtraction of fractions where one denominator is the same as, or a multiple of, the other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multiply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simple fractions by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 numbers'"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  <w:shd w:val="clear" w:color="auto" w:fill="FFFFFF"/>
              </w:rPr>
              <w:t>whole numbers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 using repeated addition, leading to a rule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11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lastRenderedPageBreak/>
              <w:t xml:space="preserve">Find a simple fraction of a quantity where the result is a whole number, with and without the use of digital </w:t>
            </w:r>
            <w:proofErr w:type="gramStart"/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technologies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ACMNA127)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calculate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"http://syllabus.bos.nsw.edu.au/glossary/mat/unit-fraction/?ajax" \t "_blank" \o "Click for more information about 'unit fractions'"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unit fractions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collections, with and without the use of digital technologies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connection between finding a unit fraction of a collection and the </w:t>
            </w:r>
            <w:r>
              <w:fldChar w:fldCharType="begin"/>
            </w:r>
            <w:r>
              <w:instrText xml:space="preserve"> HYPERLINK "http://syllabus.bos.nsw.edu.au/glossary/mat/operation/?ajax" \t "_blank" \o "Click for more information about 'operation'"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t>operation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of division (Communicating, Problem Solving)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50B561B" wp14:editId="4EF33F85">
                  <wp:extent cx="203200" cy="203200"/>
                  <wp:effectExtent l="0" t="0" r="0" b="0"/>
                  <wp:docPr id="33" name="Picture 3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20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calculate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simple fraction of a collection/quantity, with and without the use of digital technologies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21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explain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how unit fractions can be used in the calculation of simple fractions of collections/quantities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21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word problems involving a fraction of a collection/quantity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4D8B8F1" wp14:editId="693BD768">
                  <wp:extent cx="203200" cy="203200"/>
                  <wp:effectExtent l="0" t="0" r="0" b="0"/>
                  <wp:docPr id="35" name="Picture 3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20 &amp; 21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Add and subtract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decimals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, with and without the use of digital technologies, and use estimation and </w:t>
            </w:r>
            <w:r>
              <w:fldChar w:fldCharType="begin"/>
            </w:r>
            <w:r>
              <w:instrText xml:space="preserve"> HYPERLINK "http://syllabus.bos.nsw.edu.au/glossary/mat/rounding/?ajax" \t "_blank" \o "Click for more information about 'rounding'"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rounding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to check the reasonableness of answers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(ACMNA128)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add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subtract decimals with the same number of decimal places, with and without the use of digital technologies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7C3932A" wp14:editId="64F178B0">
                  <wp:extent cx="203200" cy="203200"/>
                  <wp:effectExtent l="0" t="0" r="0" b="0"/>
                  <wp:docPr id="37" name="Picture 3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add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subtract decimals with a different number of decimal places, with and without the use of digital technologies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EAFEE40" wp14:editId="5E53DFD2">
                  <wp:extent cx="203200" cy="203200"/>
                  <wp:effectExtent l="0" t="0" r="0" b="0"/>
                  <wp:docPr id="38" name="Picture 38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relate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decimals to fractions to aid mental strategies (Communicating)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round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number of up to three decimal places to the nearest whole number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estimation and rounding to check the reasonableness of answers when adding and subtracting decimals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2BE5B92" wp14:editId="6BCBD989">
                  <wp:extent cx="203200" cy="203200"/>
                  <wp:effectExtent l="0" t="0" r="0" b="0"/>
                  <wp:docPr id="39" name="Picture 3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situations where the estimation of calculations with decimals may be useful,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to check the total cost of multiple items when shopping (Communicating, Problem Solving)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word problems involving the addition and subtraction of decimals, with and without the use of digital technologies, including those involving money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6655363" wp14:editId="783C9EC1">
                  <wp:extent cx="203200" cy="203200"/>
                  <wp:effectExtent l="0" t="0" r="0" b="0"/>
                  <wp:docPr id="40" name="Picture 40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8A34F3E" wp14:editId="3C23E48D">
                  <wp:extent cx="203200" cy="203200"/>
                  <wp:effectExtent l="0" t="0" r="0" b="0"/>
                  <wp:docPr id="41" name="Picture 4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selected words to describe each step of the solution process (Communicating, Problem Solving)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803C5B2" wp14:editId="53C41AA6">
                  <wp:extent cx="203200" cy="203200"/>
                  <wp:effectExtent l="0" t="0" r="0" b="0"/>
                  <wp:docPr id="42" name="Picture 4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calculator display in the context of the problem,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2.6 means $2.60 (Communicating)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13</w:t>
            </w:r>
          </w:p>
        </w:tc>
      </w:tr>
    </w:tbl>
    <w:p w:rsidR="00FD01B9" w:rsidRDefault="00FD01B9"/>
    <w:p w:rsidR="00FD01B9" w:rsidRDefault="00FD01B9">
      <w:r>
        <w:br w:type="page"/>
      </w:r>
    </w:p>
    <w:p w:rsidR="00FD01B9" w:rsidRDefault="00FD01B9"/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2081"/>
        <w:gridCol w:w="1134"/>
      </w:tblGrid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Multiply decimals by whole numbers and perform divisions by non-zero whole numbers where the results are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"http://syllabus.bos.nsw.edu.au/glossary/mat/terminating-decimal/?ajax" \t "_blank" \o "Click for more information about 'terminating decimals'"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terminating decimals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, with and without the use of digital technologies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(ACMNA129)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mental strategies to multiply simple decimals by single-digit numbers,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3.5 × 2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14 &amp; 15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multiply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decimals of up to three decimal places by whole numbers of up to two digits, with and without the use of digital technologies,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'I measured three desks. Each desk was 1.25 m in length, so the total length is 3 × 1.25 = 3.75 m'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88785B4" wp14:editId="62213FEA">
                  <wp:extent cx="203200" cy="203200"/>
                  <wp:effectExtent l="0" t="0" r="0" b="0"/>
                  <wp:docPr id="43" name="Picture 4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A1341E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14 &amp; 15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divide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decimals by a one-digit whole number where the result is a terminating decimal,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5.25 ÷ 5 = 1.05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14 &amp; 15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word problems involving the multiplication and division of decimals, including those involving money,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determine the 'best buy' for different-sized cartons of cans of soft drink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09DDD5C" wp14:editId="3341D4BC">
                  <wp:extent cx="203200" cy="203200"/>
                  <wp:effectExtent l="0" t="0" r="0" b="0"/>
                  <wp:docPr id="44" name="Picture 44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F8B009E" wp14:editId="12A3A2D0">
                  <wp:extent cx="203200" cy="203200"/>
                  <wp:effectExtent l="0" t="0" r="0" b="0"/>
                  <wp:docPr id="45" name="Picture 45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AA9D151" wp14:editId="4FCFDC67">
                  <wp:extent cx="203200" cy="203200"/>
                  <wp:effectExtent l="0" t="0" r="0" b="0"/>
                  <wp:docPr id="46" name="Picture 4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14 &amp; 15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Multiply and divide decimals by powers of 10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(ACMNA130)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number patterns formed when decimals are multiplied and divided by 10, 100 and 1000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4473C4C" wp14:editId="6BE12A7D">
                  <wp:extent cx="203200" cy="203200"/>
                  <wp:effectExtent l="0" t="0" r="0" b="0"/>
                  <wp:docPr id="47" name="Picture 4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A1341E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multiply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divide decimals by 10, 100 and 1000</w:t>
            </w:r>
          </w:p>
        </w:tc>
        <w:tc>
          <w:tcPr>
            <w:tcW w:w="1134" w:type="dxa"/>
          </w:tcPr>
          <w:p w:rsidR="00A1341E" w:rsidRPr="00E50535" w:rsidRDefault="00A1341E" w:rsidP="00A1341E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 calculator to explore the effect of multiplying and dividing decimals by multiples of 10 (Reasoning)</w:t>
            </w:r>
          </w:p>
        </w:tc>
        <w:tc>
          <w:tcPr>
            <w:tcW w:w="1134" w:type="dxa"/>
          </w:tcPr>
          <w:p w:rsidR="00A1341E" w:rsidRPr="00E50535" w:rsidRDefault="00A1341E" w:rsidP="00A1341E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A1341E" w:rsidRPr="00E50535" w:rsidRDefault="00A1341E" w:rsidP="00A1341E">
            <w:pPr>
              <w:shd w:val="clear" w:color="auto" w:fill="FFFFFF"/>
              <w:spacing w:after="150" w:line="286" w:lineRule="atLeast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16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Make connections between equivalent fractions, decimals and </w:t>
            </w:r>
            <w:r>
              <w:fldChar w:fldCharType="begin"/>
            </w:r>
            <w:r>
              <w:instrText xml:space="preserve"> HYPERLINK "http://syllabus.bos.nsw.edu.au/glossary/mat/percentage/?ajax" \t "_blank" \o "Click for more information about 'percentages'" </w:instrText>
            </w:r>
            <w:r>
              <w:fldChar w:fldCharType="separate"/>
            </w:r>
            <w:r w:rsidRPr="00E50535"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t>percentages</w:t>
            </w:r>
            <w:r>
              <w:rPr>
                <w:rFonts w:asciiTheme="majorHAnsi" w:eastAsia="Times New Roman" w:hAnsiTheme="majorHAnsi" w:cs="Times New Roman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(ACMNA131)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the symbol % means 'percent'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827F96B" wp14:editId="70984906">
                  <wp:extent cx="203200" cy="203200"/>
                  <wp:effectExtent l="0" t="0" r="0" b="0"/>
                  <wp:docPr id="48" name="Picture 4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A1341E" w:rsidRDefault="00A1341E" w:rsidP="00A1341E">
            <w:pPr>
              <w:shd w:val="clear" w:color="auto" w:fill="FFFFFF"/>
              <w:spacing w:after="75" w:line="286" w:lineRule="atLeast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</w:pPr>
            <w:r w:rsidRPr="00A1341E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17 - 19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represent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common percentages as fractions and decimals</w:t>
            </w:r>
          </w:p>
        </w:tc>
        <w:tc>
          <w:tcPr>
            <w:tcW w:w="1134" w:type="dxa"/>
          </w:tcPr>
          <w:p w:rsidR="00A1341E" w:rsidRDefault="00A1341E" w:rsidP="00A1341E">
            <w:pPr>
              <w:jc w:val="center"/>
            </w:pPr>
            <w:r w:rsidRPr="000D6829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17 - 19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fractions, decimals and percentages as different representations of the same value (Communicating)</w:t>
            </w:r>
          </w:p>
        </w:tc>
        <w:tc>
          <w:tcPr>
            <w:tcW w:w="1134" w:type="dxa"/>
          </w:tcPr>
          <w:p w:rsidR="00A1341E" w:rsidRDefault="00A1341E" w:rsidP="00A1341E">
            <w:pPr>
              <w:jc w:val="center"/>
            </w:pPr>
            <w:r w:rsidRPr="000D6829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17 - 19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recall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commonly used equivalent percentages, decimals and fractions</w:t>
            </w:r>
          </w:p>
        </w:tc>
        <w:tc>
          <w:tcPr>
            <w:tcW w:w="1134" w:type="dxa"/>
          </w:tcPr>
          <w:p w:rsidR="00A1341E" w:rsidRDefault="00A1341E" w:rsidP="00A1341E">
            <w:pPr>
              <w:jc w:val="center"/>
            </w:pPr>
            <w:r w:rsidRPr="000D6829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17 - 19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represent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simple fractions as decimals and as percentages</w:t>
            </w:r>
          </w:p>
        </w:tc>
        <w:tc>
          <w:tcPr>
            <w:tcW w:w="1134" w:type="dxa"/>
          </w:tcPr>
          <w:p w:rsidR="00A1341E" w:rsidRDefault="00A1341E" w:rsidP="00A1341E">
            <w:pPr>
              <w:jc w:val="center"/>
            </w:pPr>
            <w:r w:rsidRPr="000D6829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17 - 19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interpret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explain the use of fractions, decimals and percentages in everyday contexts</w:t>
            </w:r>
          </w:p>
        </w:tc>
        <w:tc>
          <w:tcPr>
            <w:tcW w:w="1134" w:type="dxa"/>
          </w:tcPr>
          <w:p w:rsidR="00A1341E" w:rsidRDefault="00A1341E" w:rsidP="00A1341E">
            <w:pPr>
              <w:jc w:val="center"/>
            </w:pPr>
            <w:r w:rsidRPr="000D6829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17 - 19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represent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decimals as fractions and percentages</w:t>
            </w:r>
          </w:p>
        </w:tc>
        <w:tc>
          <w:tcPr>
            <w:tcW w:w="1134" w:type="dxa"/>
          </w:tcPr>
          <w:p w:rsidR="00A1341E" w:rsidRDefault="00A1341E" w:rsidP="00A1341E">
            <w:pPr>
              <w:jc w:val="center"/>
            </w:pPr>
            <w:r w:rsidRPr="000D6829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</w:rPr>
              <w:t>17 - 19</w:t>
            </w:r>
          </w:p>
        </w:tc>
      </w:tr>
    </w:tbl>
    <w:p w:rsidR="00FD01B9" w:rsidRDefault="00FD01B9"/>
    <w:p w:rsidR="00FD01B9" w:rsidRDefault="00FD01B9">
      <w:r>
        <w:br w:type="page"/>
      </w:r>
    </w:p>
    <w:p w:rsidR="00FD01B9" w:rsidRDefault="00FD01B9"/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2081"/>
        <w:gridCol w:w="1134"/>
      </w:tblGrid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E50535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Investigate and calculate percentage discounts of 10%, 25% and 50% on sale items, with and without the use of digital technologies </w:t>
            </w:r>
            <w:r w:rsidRPr="00E50535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(ACMNA132)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Equate 10% to one tenth, 25% to one quarter and 50% to one half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22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calculate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common percentages (10%, 25%, 50%) of quantities, with and without the use of digital technologies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265AF95" wp14:editId="120D97FC">
                  <wp:extent cx="203200" cy="203200"/>
                  <wp:effectExtent l="0" t="0" r="0" b="0"/>
                  <wp:docPr id="61" name="Picture 6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E8C6283" wp14:editId="5AABFC67">
                  <wp:extent cx="203200" cy="203200"/>
                  <wp:effectExtent l="0" t="0" r="0" b="0"/>
                  <wp:docPr id="62" name="Picture 6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22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choose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most appropriate equivalent form of a percentage to aid calculation</w:t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22 &amp; 23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use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 mental strategies to estimate discounts of 10%, 25% and 50%, </w:t>
            </w:r>
            <w:proofErr w:type="spell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>eg</w:t>
            </w:r>
            <w:proofErr w:type="spell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  <w:t xml:space="preserve"> '50% off the price of $122.70: 50% is the same as one half </w:t>
            </w:r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so the discount is about $60'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2FED9D5" wp14:editId="55F76EC2">
                  <wp:extent cx="203200" cy="203200"/>
                  <wp:effectExtent l="0" t="0" r="0" b="0"/>
                  <wp:docPr id="90" name="Picture 90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060F307" wp14:editId="72581241">
                  <wp:extent cx="203200" cy="203200"/>
                  <wp:effectExtent l="0" t="0" r="0" b="0"/>
                  <wp:docPr id="91" name="Picture 91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7C14917" wp14:editId="0D1DCC67">
                  <wp:extent cx="203200" cy="203200"/>
                  <wp:effectExtent l="0" t="0" r="0" b="0"/>
                  <wp:docPr id="92" name="Picture 9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23</w:t>
            </w:r>
          </w:p>
        </w:tc>
      </w:tr>
      <w:tr w:rsidR="00A1341E" w:rsidRPr="00E50535" w:rsidTr="00A1341E">
        <w:trPr>
          <w:jc w:val="center"/>
        </w:trPr>
        <w:tc>
          <w:tcPr>
            <w:tcW w:w="12081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calculate</w:t>
            </w:r>
            <w:proofErr w:type="gramEnd"/>
            <w:r w:rsidRPr="00E5053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sale price of an item after a discount of 10%, 25% and 50%, with and without the use of digital technologies, recording the strategy and result </w:t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B37451D" wp14:editId="22633E22">
                  <wp:extent cx="203200" cy="203200"/>
                  <wp:effectExtent l="0" t="0" r="0" b="0"/>
                  <wp:docPr id="93" name="Picture 9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0535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4535499" wp14:editId="1BE15EE8">
                  <wp:extent cx="203200" cy="203200"/>
                  <wp:effectExtent l="0" t="0" r="0" b="0"/>
                  <wp:docPr id="94" name="Picture 9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A1341E" w:rsidRPr="00E50535" w:rsidRDefault="00A1341E" w:rsidP="004B4F8F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23</w:t>
            </w:r>
          </w:p>
        </w:tc>
      </w:tr>
    </w:tbl>
    <w:p w:rsidR="004B4F8F" w:rsidRPr="00E50535" w:rsidRDefault="004B4F8F" w:rsidP="004B4F8F">
      <w:pPr>
        <w:shd w:val="clear" w:color="auto" w:fill="FFFFFF"/>
        <w:spacing w:after="75" w:line="286" w:lineRule="atLeast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p w:rsidR="004B4F8F" w:rsidRPr="00A1341E" w:rsidRDefault="00A1341E" w:rsidP="00A1341E">
      <w:pPr>
        <w:shd w:val="clear" w:color="auto" w:fill="FFFFFF"/>
        <w:spacing w:line="286" w:lineRule="atLeast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</w:pPr>
      <w:r w:rsidRPr="00A1341E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MISSING PLANS</w:t>
      </w:r>
      <w:bookmarkStart w:id="0" w:name="_GoBack"/>
      <w:bookmarkEnd w:id="0"/>
    </w:p>
    <w:sectPr w:rsidR="004B4F8F" w:rsidRPr="00A1341E" w:rsidSect="00E50535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CFB"/>
    <w:multiLevelType w:val="multilevel"/>
    <w:tmpl w:val="F79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6B99"/>
    <w:multiLevelType w:val="multilevel"/>
    <w:tmpl w:val="11D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D7ECB"/>
    <w:multiLevelType w:val="multilevel"/>
    <w:tmpl w:val="F57C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503C4"/>
    <w:multiLevelType w:val="hybridMultilevel"/>
    <w:tmpl w:val="3FB8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A7DC4"/>
    <w:multiLevelType w:val="multilevel"/>
    <w:tmpl w:val="3F7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E52E6"/>
    <w:multiLevelType w:val="multilevel"/>
    <w:tmpl w:val="0FF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E39C4"/>
    <w:multiLevelType w:val="multilevel"/>
    <w:tmpl w:val="95F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0737C"/>
    <w:multiLevelType w:val="multilevel"/>
    <w:tmpl w:val="5DC0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B0A53"/>
    <w:multiLevelType w:val="multilevel"/>
    <w:tmpl w:val="A2D0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B0010"/>
    <w:multiLevelType w:val="multilevel"/>
    <w:tmpl w:val="21E6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4731E"/>
    <w:multiLevelType w:val="multilevel"/>
    <w:tmpl w:val="2C12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B309E"/>
    <w:multiLevelType w:val="multilevel"/>
    <w:tmpl w:val="B32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9548D"/>
    <w:multiLevelType w:val="multilevel"/>
    <w:tmpl w:val="FCD2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5A109F"/>
    <w:multiLevelType w:val="multilevel"/>
    <w:tmpl w:val="9FCE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41263"/>
    <w:multiLevelType w:val="multilevel"/>
    <w:tmpl w:val="0862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2403B"/>
    <w:multiLevelType w:val="multilevel"/>
    <w:tmpl w:val="8B8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C156C"/>
    <w:multiLevelType w:val="multilevel"/>
    <w:tmpl w:val="FED8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A1FBA"/>
    <w:multiLevelType w:val="multilevel"/>
    <w:tmpl w:val="BDF6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275D7"/>
    <w:multiLevelType w:val="multilevel"/>
    <w:tmpl w:val="304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9D3189"/>
    <w:multiLevelType w:val="multilevel"/>
    <w:tmpl w:val="2194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62A86"/>
    <w:multiLevelType w:val="multilevel"/>
    <w:tmpl w:val="1EB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138EB"/>
    <w:multiLevelType w:val="multilevel"/>
    <w:tmpl w:val="B050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3"/>
  </w:num>
  <w:num w:numId="5">
    <w:abstractNumId w:val="2"/>
  </w:num>
  <w:num w:numId="6">
    <w:abstractNumId w:val="1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9"/>
  </w:num>
  <w:num w:numId="12">
    <w:abstractNumId w:val="0"/>
  </w:num>
  <w:num w:numId="13">
    <w:abstractNumId w:val="20"/>
  </w:num>
  <w:num w:numId="14">
    <w:abstractNumId w:val="7"/>
  </w:num>
  <w:num w:numId="15">
    <w:abstractNumId w:val="4"/>
  </w:num>
  <w:num w:numId="16">
    <w:abstractNumId w:val="5"/>
  </w:num>
  <w:num w:numId="17">
    <w:abstractNumId w:val="21"/>
  </w:num>
  <w:num w:numId="18">
    <w:abstractNumId w:val="14"/>
  </w:num>
  <w:num w:numId="19">
    <w:abstractNumId w:val="11"/>
  </w:num>
  <w:num w:numId="20">
    <w:abstractNumId w:val="6"/>
  </w:num>
  <w:num w:numId="21">
    <w:abstractNumId w:val="16"/>
  </w:num>
  <w:num w:numId="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F"/>
    <w:rsid w:val="001165A8"/>
    <w:rsid w:val="00267685"/>
    <w:rsid w:val="004B4F8F"/>
    <w:rsid w:val="00737920"/>
    <w:rsid w:val="00816701"/>
    <w:rsid w:val="00A1341E"/>
    <w:rsid w:val="00E50535"/>
    <w:rsid w:val="00FA7E6A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F8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4F8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B4F8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F8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4F8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B4F8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B4F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4F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4F8F"/>
  </w:style>
  <w:style w:type="character" w:customStyle="1" w:styleId="ref">
    <w:name w:val="ref"/>
    <w:basedOn w:val="DefaultParagraphFont"/>
    <w:rsid w:val="004B4F8F"/>
  </w:style>
  <w:style w:type="paragraph" w:styleId="BalloonText">
    <w:name w:val="Balloon Text"/>
    <w:basedOn w:val="Normal"/>
    <w:link w:val="BalloonTextChar"/>
    <w:uiPriority w:val="99"/>
    <w:semiHidden/>
    <w:unhideWhenUsed/>
    <w:rsid w:val="004B4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F8F"/>
    <w:pPr>
      <w:ind w:left="720"/>
      <w:contextualSpacing/>
    </w:pPr>
  </w:style>
  <w:style w:type="table" w:styleId="TableGrid">
    <w:name w:val="Table Grid"/>
    <w:basedOn w:val="TableNormal"/>
    <w:uiPriority w:val="59"/>
    <w:rsid w:val="004B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F8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4F8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B4F8F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F8F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4F8F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B4F8F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4B4F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4F8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4F8F"/>
  </w:style>
  <w:style w:type="character" w:customStyle="1" w:styleId="ref">
    <w:name w:val="ref"/>
    <w:basedOn w:val="DefaultParagraphFont"/>
    <w:rsid w:val="004B4F8F"/>
  </w:style>
  <w:style w:type="paragraph" w:styleId="BalloonText">
    <w:name w:val="Balloon Text"/>
    <w:basedOn w:val="Normal"/>
    <w:link w:val="BalloonTextChar"/>
    <w:uiPriority w:val="99"/>
    <w:semiHidden/>
    <w:unhideWhenUsed/>
    <w:rsid w:val="004B4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F8F"/>
    <w:pPr>
      <w:ind w:left="720"/>
      <w:contextualSpacing/>
    </w:pPr>
  </w:style>
  <w:style w:type="table" w:styleId="TableGrid">
    <w:name w:val="Table Grid"/>
    <w:basedOn w:val="TableNormal"/>
    <w:uiPriority w:val="59"/>
    <w:rsid w:val="004B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42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9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2039</Words>
  <Characters>11626</Characters>
  <Application>Microsoft Macintosh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2015-01-19T23:04:00Z</dcterms:created>
  <dcterms:modified xsi:type="dcterms:W3CDTF">2015-01-19T23:04:00Z</dcterms:modified>
</cp:coreProperties>
</file>