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B9" w:rsidRPr="008317EF" w:rsidRDefault="009916CD" w:rsidP="00CA1B30">
      <w:pPr>
        <w:shd w:val="clear" w:color="auto" w:fill="FFFFFF"/>
        <w:spacing w:line="240" w:lineRule="atLeast"/>
        <w:jc w:val="center"/>
        <w:textAlignment w:val="top"/>
        <w:outlineLvl w:val="1"/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</w:pPr>
      <w:r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>MASS</w:t>
      </w:r>
      <w:r w:rsidR="004E5299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 xml:space="preserve"> </w:t>
      </w:r>
      <w:r w:rsidR="006F2420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>1</w:t>
      </w:r>
      <w:r w:rsidR="007B29B9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 xml:space="preserve"> –STAGE </w:t>
      </w:r>
      <w:r w:rsidR="00AD7495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>3</w:t>
      </w:r>
    </w:p>
    <w:p w:rsidR="007B29B9" w:rsidRPr="008317EF" w:rsidRDefault="007B29B9" w:rsidP="00CA1B30">
      <w:pPr>
        <w:shd w:val="clear" w:color="auto" w:fill="FFFFFF"/>
        <w:spacing w:line="240" w:lineRule="atLeast"/>
        <w:jc w:val="center"/>
        <w:textAlignment w:val="top"/>
        <w:outlineLvl w:val="1"/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</w:pPr>
      <w:bookmarkStart w:id="0" w:name="_GoBack"/>
      <w:bookmarkEnd w:id="0"/>
    </w:p>
    <w:p w:rsidR="007B29B9" w:rsidRPr="008317EF" w:rsidRDefault="007B29B9" w:rsidP="00CA1B30">
      <w:pPr>
        <w:shd w:val="clear" w:color="auto" w:fill="FFFFFF"/>
        <w:spacing w:line="240" w:lineRule="atLeast"/>
        <w:textAlignment w:val="top"/>
        <w:outlineLvl w:val="1"/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</w:pPr>
      <w:r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>OUTCOMES</w:t>
      </w:r>
    </w:p>
    <w:p w:rsidR="007B29B9" w:rsidRPr="008317EF" w:rsidRDefault="007B29B9" w:rsidP="00CA1B30">
      <w:pPr>
        <w:spacing w:line="240" w:lineRule="atLeast"/>
        <w:textAlignment w:val="top"/>
        <w:outlineLvl w:val="3"/>
        <w:rPr>
          <w:rFonts w:asciiTheme="majorHAnsi" w:eastAsia="Times New Roman" w:hAnsiTheme="majorHAnsi" w:cs="Times New Roman"/>
        </w:rPr>
      </w:pPr>
      <w:r w:rsidRPr="008317EF">
        <w:rPr>
          <w:rFonts w:asciiTheme="majorHAnsi" w:eastAsia="Times New Roman" w:hAnsiTheme="majorHAnsi" w:cs="Times New Roman"/>
        </w:rPr>
        <w:t>A student:</w:t>
      </w:r>
    </w:p>
    <w:p w:rsidR="00AD7495" w:rsidRPr="008317EF" w:rsidRDefault="00AD7495" w:rsidP="00AD7495">
      <w:pPr>
        <w:spacing w:before="30"/>
        <w:ind w:left="360"/>
        <w:rPr>
          <w:rFonts w:asciiTheme="majorHAnsi" w:hAnsiTheme="majorHAnsi" w:cs="Times New Roman"/>
          <w:sz w:val="20"/>
          <w:szCs w:val="20"/>
        </w:rPr>
      </w:pPr>
      <w:r w:rsidRPr="008317EF">
        <w:rPr>
          <w:rFonts w:asciiTheme="majorHAnsi" w:hAnsiTheme="majorHAnsi" w:cs="Times New Roman"/>
          <w:sz w:val="20"/>
          <w:szCs w:val="20"/>
        </w:rPr>
        <w:t xml:space="preserve">MA3-1WM describes and represents mathematical situations in a variety of ways using mathematical terminology and some conventions </w:t>
      </w:r>
    </w:p>
    <w:p w:rsidR="00AD7495" w:rsidRPr="008317EF" w:rsidRDefault="00AD7495" w:rsidP="00AD7495">
      <w:pPr>
        <w:spacing w:before="30"/>
        <w:ind w:left="360"/>
        <w:rPr>
          <w:rFonts w:asciiTheme="majorHAnsi" w:hAnsiTheme="majorHAnsi" w:cs="Times New Roman"/>
          <w:sz w:val="20"/>
          <w:szCs w:val="20"/>
        </w:rPr>
      </w:pPr>
      <w:r w:rsidRPr="008317EF">
        <w:rPr>
          <w:rFonts w:asciiTheme="majorHAnsi" w:hAnsiTheme="majorHAnsi" w:cs="Times New Roman"/>
          <w:sz w:val="20"/>
          <w:szCs w:val="20"/>
        </w:rPr>
        <w:t xml:space="preserve">MA3-2WM › selects and applies appropriate problem-solving strategies, including the use of digital technologies, in undertaking investigations </w:t>
      </w:r>
    </w:p>
    <w:p w:rsidR="00B5753D" w:rsidRPr="008317EF" w:rsidRDefault="00AD7495" w:rsidP="00AD7495">
      <w:pPr>
        <w:spacing w:before="30"/>
        <w:ind w:left="360"/>
        <w:rPr>
          <w:rFonts w:asciiTheme="majorHAnsi" w:hAnsiTheme="majorHAnsi" w:cs="Times New Roman"/>
          <w:sz w:val="20"/>
          <w:szCs w:val="20"/>
        </w:rPr>
      </w:pPr>
      <w:r w:rsidRPr="008317EF">
        <w:rPr>
          <w:rFonts w:asciiTheme="majorHAnsi" w:hAnsiTheme="majorHAnsi" w:cs="Times New Roman"/>
          <w:sz w:val="20"/>
          <w:szCs w:val="20"/>
        </w:rPr>
        <w:t xml:space="preserve">MA3-12MG › selects and uses the appropriate unit and device to measure the masses of objects, and converts between units of mass </w:t>
      </w:r>
    </w:p>
    <w:p w:rsidR="00AD7495" w:rsidRPr="008317EF" w:rsidRDefault="00AD7495" w:rsidP="00AD7495">
      <w:pPr>
        <w:spacing w:before="30"/>
        <w:ind w:left="360"/>
        <w:rPr>
          <w:rFonts w:asciiTheme="majorHAnsi" w:hAnsiTheme="majorHAnsi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91"/>
        <w:gridCol w:w="992"/>
      </w:tblGrid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CC0E1D">
            <w:pPr>
              <w:shd w:val="clear" w:color="auto" w:fill="FFFFFF"/>
              <w:spacing w:after="150" w:line="240" w:lineRule="atLeast"/>
              <w:jc w:val="center"/>
              <w:textAlignment w:val="top"/>
              <w:outlineLvl w:val="1"/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</w:pPr>
            <w:r w:rsidRPr="008317EF"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  <w:t>CONTENT</w:t>
            </w:r>
          </w:p>
        </w:tc>
        <w:tc>
          <w:tcPr>
            <w:tcW w:w="992" w:type="dxa"/>
          </w:tcPr>
          <w:p w:rsidR="004C144E" w:rsidRPr="008317EF" w:rsidRDefault="004C144E" w:rsidP="00CC0E1D">
            <w:pPr>
              <w:shd w:val="clear" w:color="auto" w:fill="FFFFFF"/>
              <w:spacing w:after="150" w:line="240" w:lineRule="atLeast"/>
              <w:jc w:val="center"/>
              <w:textAlignment w:val="top"/>
              <w:outlineLvl w:val="1"/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  <w:t>plan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  <w:b/>
              </w:rPr>
            </w:pPr>
            <w:r w:rsidRPr="008317EF">
              <w:rPr>
                <w:rFonts w:asciiTheme="majorHAnsi" w:hAnsiTheme="majorHAnsi"/>
                <w:b/>
              </w:rPr>
              <w:t xml:space="preserve">Choose appropriate units of measurement for mass (ACMMG108) 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150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recognise</w:t>
            </w:r>
            <w:proofErr w:type="gramEnd"/>
            <w:r w:rsidRPr="008317EF">
              <w:rPr>
                <w:rFonts w:asciiTheme="majorHAnsi" w:hAnsiTheme="majorHAnsi"/>
              </w:rPr>
              <w:t xml:space="preserve"> the need for a formal unit larger than the kilogram 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use</w:t>
            </w:r>
            <w:proofErr w:type="gramEnd"/>
            <w:r w:rsidRPr="008317EF">
              <w:rPr>
                <w:rFonts w:asciiTheme="majorHAnsi" w:hAnsiTheme="majorHAnsi"/>
              </w:rPr>
              <w:t xml:space="preserve"> the tonne to record large masses,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sand, soil, vehicles 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record</w:t>
            </w:r>
            <w:proofErr w:type="gramEnd"/>
            <w:r w:rsidRPr="008317EF">
              <w:rPr>
                <w:rFonts w:asciiTheme="majorHAnsi" w:hAnsiTheme="majorHAnsi"/>
              </w:rPr>
              <w:t xml:space="preserve"> masses using the abbreviation for tonnes (t) 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distinguish</w:t>
            </w:r>
            <w:proofErr w:type="gramEnd"/>
            <w:r w:rsidRPr="008317EF">
              <w:rPr>
                <w:rFonts w:asciiTheme="majorHAnsi" w:hAnsiTheme="majorHAnsi"/>
              </w:rPr>
              <w:t xml:space="preserve"> between the ‘gross mass’ and the ‘net mass’ of containers holding substances,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cans of soup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</w:rPr>
            </w:pPr>
            <w:proofErr w:type="gramStart"/>
            <w:r w:rsidRPr="008317EF">
              <w:rPr>
                <w:rFonts w:asciiTheme="majorHAnsi" w:hAnsiTheme="majorHAnsi"/>
              </w:rPr>
              <w:t>interpret</w:t>
            </w:r>
            <w:proofErr w:type="gramEnd"/>
            <w:r w:rsidRPr="008317EF">
              <w:rPr>
                <w:rFonts w:asciiTheme="majorHAnsi" w:hAnsiTheme="majorHAnsi"/>
              </w:rPr>
              <w:t xml:space="preserve"> information about mass on commercial packaging (Communicating) 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</w:rPr>
            </w:pPr>
            <w:proofErr w:type="gramStart"/>
            <w:r w:rsidRPr="008317EF">
              <w:rPr>
                <w:rFonts w:asciiTheme="majorHAnsi" w:hAnsiTheme="majorHAnsi"/>
              </w:rPr>
              <w:t>solve</w:t>
            </w:r>
            <w:proofErr w:type="gramEnd"/>
            <w:r w:rsidRPr="008317EF">
              <w:rPr>
                <w:rFonts w:asciiTheme="majorHAnsi" w:hAnsiTheme="majorHAnsi"/>
              </w:rPr>
              <w:t xml:space="preserve"> problems involving gross mass and net mass,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find the mass of a container given the gross mass and the net mass (Problem Solving)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4A1F43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select</w:t>
            </w:r>
            <w:proofErr w:type="gramEnd"/>
            <w:r w:rsidRPr="008317EF">
              <w:rPr>
                <w:rFonts w:asciiTheme="majorHAnsi" w:hAnsiTheme="majorHAnsi"/>
              </w:rPr>
              <w:t xml:space="preserve"> and use the appropriate unit and device to measure mass,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electronic scales, kitchen scales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973623">
            <w:pPr>
              <w:rPr>
                <w:rFonts w:asciiTheme="majorHAnsi" w:hAnsiTheme="majorHAnsi"/>
              </w:rPr>
            </w:pPr>
            <w:proofErr w:type="gramStart"/>
            <w:r w:rsidRPr="008317EF">
              <w:rPr>
                <w:rFonts w:asciiTheme="majorHAnsi" w:hAnsiTheme="majorHAnsi"/>
              </w:rPr>
              <w:t>determine</w:t>
            </w:r>
            <w:proofErr w:type="gramEnd"/>
            <w:r w:rsidRPr="008317EF">
              <w:rPr>
                <w:rFonts w:asciiTheme="majorHAnsi" w:hAnsiTheme="majorHAnsi"/>
              </w:rPr>
              <w:t xml:space="preserve"> the net mass of the contents of a container after measuring the gross mass and the mass of the container (Problem Solving) 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4C144E" w:rsidRPr="008317EF" w:rsidTr="004C144E">
        <w:trPr>
          <w:jc w:val="center"/>
        </w:trPr>
        <w:tc>
          <w:tcPr>
            <w:tcW w:w="13291" w:type="dxa"/>
          </w:tcPr>
          <w:p w:rsidR="004C144E" w:rsidRPr="008317EF" w:rsidRDefault="004C144E" w:rsidP="00973623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find</w:t>
            </w:r>
            <w:proofErr w:type="gramEnd"/>
            <w:r w:rsidRPr="008317EF">
              <w:rPr>
                <w:rFonts w:asciiTheme="majorHAnsi" w:hAnsiTheme="majorHAnsi"/>
              </w:rPr>
              <w:t xml:space="preserve"> the approximate mass of a small object by establishing the mass of a number of that object,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'The stated weight of a box of chocolates is 250 g. If there are 20 identical chocolates in the box, what does each chocolate weigh?' </w:t>
            </w:r>
          </w:p>
        </w:tc>
        <w:tc>
          <w:tcPr>
            <w:tcW w:w="992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3</w:t>
            </w:r>
          </w:p>
        </w:tc>
      </w:tr>
    </w:tbl>
    <w:p w:rsidR="00CC0E1D" w:rsidRPr="008317EF" w:rsidRDefault="00CC0E1D">
      <w:pPr>
        <w:rPr>
          <w:rFonts w:asciiTheme="majorHAnsi" w:hAnsiTheme="majorHAnsi"/>
        </w:rPr>
      </w:pPr>
      <w:r w:rsidRPr="008317EF">
        <w:rPr>
          <w:rFonts w:asciiTheme="majorHAnsi" w:hAnsiTheme="majorHAnsi"/>
        </w:rPr>
        <w:br w:type="page"/>
      </w:r>
    </w:p>
    <w:p w:rsidR="007B29B9" w:rsidRPr="008317EF" w:rsidRDefault="00366A26" w:rsidP="007B29B9">
      <w:pPr>
        <w:shd w:val="clear" w:color="auto" w:fill="FFFFFF"/>
        <w:spacing w:after="150" w:line="240" w:lineRule="atLeast"/>
        <w:jc w:val="center"/>
        <w:textAlignment w:val="top"/>
        <w:outlineLvl w:val="1"/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</w:pPr>
      <w:r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lastRenderedPageBreak/>
        <w:t>MASS</w:t>
      </w:r>
      <w:r w:rsidR="004E5299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 xml:space="preserve"> </w:t>
      </w:r>
      <w:r w:rsidR="006F2420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>2</w:t>
      </w:r>
      <w:r w:rsidR="007B29B9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 xml:space="preserve"> – STAGE </w:t>
      </w:r>
      <w:r w:rsidR="00AD7495"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>3</w:t>
      </w:r>
    </w:p>
    <w:p w:rsidR="007B29B9" w:rsidRPr="008317EF" w:rsidRDefault="007B29B9" w:rsidP="00CC0E1D">
      <w:pPr>
        <w:shd w:val="clear" w:color="auto" w:fill="FFFFFF"/>
        <w:spacing w:after="150" w:line="240" w:lineRule="atLeast"/>
        <w:textAlignment w:val="top"/>
        <w:outlineLvl w:val="1"/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</w:pPr>
      <w:r w:rsidRPr="008317EF">
        <w:rPr>
          <w:rFonts w:asciiTheme="majorHAnsi" w:eastAsia="Times New Roman" w:hAnsiTheme="majorHAnsi" w:cs="Times New Roman"/>
          <w:b/>
          <w:caps/>
          <w:color w:val="006600"/>
          <w:spacing w:val="-15"/>
          <w:sz w:val="28"/>
          <w:szCs w:val="28"/>
        </w:rPr>
        <w:t>OUTCOMES</w:t>
      </w:r>
    </w:p>
    <w:p w:rsidR="007B29B9" w:rsidRPr="008317EF" w:rsidRDefault="007B29B9" w:rsidP="00C24A57">
      <w:pPr>
        <w:spacing w:line="240" w:lineRule="atLeast"/>
        <w:textAlignment w:val="top"/>
        <w:outlineLvl w:val="3"/>
        <w:rPr>
          <w:rFonts w:asciiTheme="majorHAnsi" w:eastAsia="Times New Roman" w:hAnsiTheme="majorHAnsi" w:cs="Times New Roman"/>
        </w:rPr>
      </w:pPr>
      <w:r w:rsidRPr="008317EF">
        <w:rPr>
          <w:rFonts w:asciiTheme="majorHAnsi" w:eastAsia="Times New Roman" w:hAnsiTheme="majorHAnsi" w:cs="Times New Roman"/>
        </w:rPr>
        <w:t>A student:</w:t>
      </w:r>
    </w:p>
    <w:p w:rsidR="008317EF" w:rsidRPr="008317EF" w:rsidRDefault="008317EF" w:rsidP="008317EF">
      <w:pPr>
        <w:spacing w:before="30"/>
        <w:ind w:left="360"/>
        <w:rPr>
          <w:rFonts w:asciiTheme="majorHAnsi" w:eastAsia="Times New Roman" w:hAnsiTheme="majorHAnsi" w:cs="Times New Roman"/>
          <w:color w:val="000000"/>
          <w:sz w:val="21"/>
          <w:szCs w:val="21"/>
        </w:rPr>
      </w:pPr>
      <w:r w:rsidRPr="008317EF">
        <w:rPr>
          <w:rFonts w:asciiTheme="majorHAnsi" w:eastAsia="Times New Roman" w:hAnsiTheme="majorHAnsi" w:cs="Times New Roman"/>
          <w:color w:val="000000"/>
          <w:sz w:val="21"/>
          <w:szCs w:val="21"/>
        </w:rPr>
        <w:t xml:space="preserve">MA3-1WM describes and represents mathematical situations in a variety of ways using mathematical terminology and some conventions </w:t>
      </w:r>
    </w:p>
    <w:p w:rsidR="008317EF" w:rsidRPr="008317EF" w:rsidRDefault="008317EF" w:rsidP="008317EF">
      <w:pPr>
        <w:spacing w:before="30"/>
        <w:ind w:left="360"/>
        <w:rPr>
          <w:rFonts w:asciiTheme="majorHAnsi" w:eastAsia="Times New Roman" w:hAnsiTheme="majorHAnsi" w:cs="Times New Roman"/>
          <w:color w:val="000000"/>
          <w:sz w:val="21"/>
          <w:szCs w:val="21"/>
        </w:rPr>
      </w:pPr>
      <w:r w:rsidRPr="008317EF">
        <w:rPr>
          <w:rFonts w:asciiTheme="majorHAnsi" w:eastAsia="Times New Roman" w:hAnsiTheme="majorHAnsi" w:cs="Times New Roman"/>
          <w:color w:val="000000"/>
          <w:sz w:val="21"/>
          <w:szCs w:val="21"/>
        </w:rPr>
        <w:t xml:space="preserve">MA3-2WM › selects and applies appropriate problem-solving strategies, including the use of digital technologies, in undertaking investigations </w:t>
      </w:r>
    </w:p>
    <w:p w:rsidR="00FB5F08" w:rsidRPr="008317EF" w:rsidRDefault="008317EF" w:rsidP="008317EF">
      <w:pPr>
        <w:spacing w:before="30"/>
        <w:ind w:left="360"/>
        <w:rPr>
          <w:rFonts w:asciiTheme="majorHAnsi" w:eastAsia="Times New Roman" w:hAnsiTheme="majorHAnsi" w:cs="Times New Roman"/>
          <w:color w:val="000000"/>
          <w:sz w:val="21"/>
          <w:szCs w:val="21"/>
        </w:rPr>
      </w:pPr>
      <w:r w:rsidRPr="008317EF">
        <w:rPr>
          <w:rFonts w:asciiTheme="majorHAnsi" w:eastAsia="Times New Roman" w:hAnsiTheme="majorHAnsi" w:cs="Times New Roman"/>
          <w:color w:val="000000"/>
          <w:sz w:val="21"/>
          <w:szCs w:val="21"/>
        </w:rPr>
        <w:t xml:space="preserve">MA3-12MG › selects and uses the appropriate unit and device to measure the masses of objects, and converts between units of mass </w:t>
      </w:r>
    </w:p>
    <w:p w:rsidR="008317EF" w:rsidRPr="008317EF" w:rsidRDefault="008317EF" w:rsidP="008317EF">
      <w:pPr>
        <w:spacing w:before="30"/>
        <w:ind w:left="360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57"/>
        <w:gridCol w:w="1123"/>
      </w:tblGrid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CC0E1D">
            <w:pPr>
              <w:shd w:val="clear" w:color="auto" w:fill="FFFFFF"/>
              <w:spacing w:after="150" w:line="240" w:lineRule="atLeast"/>
              <w:jc w:val="center"/>
              <w:textAlignment w:val="top"/>
              <w:outlineLvl w:val="1"/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</w:pPr>
            <w:r w:rsidRPr="008317EF">
              <w:rPr>
                <w:rFonts w:asciiTheme="majorHAnsi" w:eastAsia="Times New Roman" w:hAnsiTheme="majorHAnsi" w:cs="Times New Roman"/>
                <w:sz w:val="18"/>
                <w:szCs w:val="18"/>
              </w:rPr>
              <w:cr/>
            </w:r>
            <w:r w:rsidRPr="008317EF"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  <w:t>CONTENT</w:t>
            </w:r>
          </w:p>
        </w:tc>
        <w:tc>
          <w:tcPr>
            <w:tcW w:w="1123" w:type="dxa"/>
          </w:tcPr>
          <w:p w:rsidR="004C144E" w:rsidRPr="008317EF" w:rsidRDefault="004C144E" w:rsidP="00CC0E1D">
            <w:pPr>
              <w:shd w:val="clear" w:color="auto" w:fill="FFFFFF"/>
              <w:spacing w:after="150" w:line="240" w:lineRule="atLeast"/>
              <w:jc w:val="center"/>
              <w:textAlignment w:val="top"/>
              <w:outlineLvl w:val="1"/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color w:val="006600"/>
                <w:spacing w:val="-15"/>
                <w:sz w:val="28"/>
                <w:szCs w:val="28"/>
              </w:rPr>
              <w:t>plan</w:t>
            </w: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507F57">
            <w:pPr>
              <w:rPr>
                <w:rFonts w:asciiTheme="majorHAnsi" w:hAnsiTheme="majorHAnsi"/>
                <w:b/>
              </w:rPr>
            </w:pPr>
            <w:r w:rsidRPr="008317EF">
              <w:rPr>
                <w:rFonts w:asciiTheme="majorHAnsi" w:hAnsiTheme="majorHAnsi"/>
                <w:b/>
              </w:rPr>
              <w:t xml:space="preserve">Connect decimal representations to the metric system (ACMMG135) </w:t>
            </w: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150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507F57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recognise</w:t>
            </w:r>
            <w:proofErr w:type="gramEnd"/>
            <w:r w:rsidRPr="008317EF">
              <w:rPr>
                <w:rFonts w:asciiTheme="majorHAnsi" w:hAnsiTheme="majorHAnsi"/>
              </w:rPr>
              <w:t xml:space="preserve"> the equivalence of whole-number and decimal representations of measurements of mass,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3 kg 250 g is the same as 3.25 kg</w:t>
            </w: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507F57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interpret</w:t>
            </w:r>
            <w:proofErr w:type="gramEnd"/>
            <w:r w:rsidRPr="008317EF">
              <w:rPr>
                <w:rFonts w:asciiTheme="majorHAnsi" w:hAnsiTheme="majorHAnsi"/>
              </w:rPr>
              <w:t xml:space="preserve"> decimal notation for masses,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2.08 kg is the same as 2 kilograms and 80 grams </w:t>
            </w: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507F57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measure</w:t>
            </w:r>
            <w:proofErr w:type="gramEnd"/>
            <w:r w:rsidRPr="008317EF">
              <w:rPr>
                <w:rFonts w:asciiTheme="majorHAnsi" w:hAnsiTheme="majorHAnsi"/>
              </w:rPr>
              <w:t xml:space="preserve"> mass using scales and record using decimal notation of up to three decimal places,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0.875 kg </w:t>
            </w: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8317EF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  <w:b/>
              </w:rPr>
              <w:t xml:space="preserve">Convert between common metric units of mass (ACMMG136) </w:t>
            </w: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8317EF">
            <w:pPr>
              <w:rPr>
                <w:rFonts w:asciiTheme="majorHAnsi" w:hAnsiTheme="majorHAnsi"/>
              </w:rPr>
            </w:pPr>
            <w:proofErr w:type="gramStart"/>
            <w:r w:rsidRPr="008317EF">
              <w:rPr>
                <w:rFonts w:asciiTheme="majorHAnsi" w:hAnsiTheme="majorHAnsi"/>
              </w:rPr>
              <w:t>explain</w:t>
            </w:r>
            <w:proofErr w:type="gramEnd"/>
            <w:r w:rsidRPr="008317EF">
              <w:rPr>
                <w:rFonts w:asciiTheme="majorHAnsi" w:hAnsiTheme="majorHAnsi"/>
              </w:rPr>
              <w:t xml:space="preserve"> and use the relationship between the size of a unit and the number of units needed to assist in determining whether multiplication or division is required when converting between units,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'More grams than kilograms will be needed to measure the same mass, and so to convert from kilograms to grams, I need to multiply' (Communicating, Reasoning) </w:t>
            </w: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8317EF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solve</w:t>
            </w:r>
            <w:proofErr w:type="gramEnd"/>
            <w:r w:rsidRPr="008317EF">
              <w:rPr>
                <w:rFonts w:asciiTheme="majorHAnsi" w:hAnsiTheme="majorHAnsi"/>
              </w:rPr>
              <w:t xml:space="preserve"> problems involving different units of mass, </w:t>
            </w:r>
            <w:proofErr w:type="spellStart"/>
            <w:r w:rsidRPr="008317EF">
              <w:rPr>
                <w:rFonts w:asciiTheme="majorHAnsi" w:hAnsiTheme="majorHAnsi"/>
              </w:rPr>
              <w:t>eg</w:t>
            </w:r>
            <w:proofErr w:type="spellEnd"/>
            <w:r w:rsidRPr="008317EF">
              <w:rPr>
                <w:rFonts w:asciiTheme="majorHAnsi" w:hAnsiTheme="majorHAnsi"/>
              </w:rPr>
              <w:t xml:space="preserve"> find the total mass of three items weighing 50 g, 750 g and 2.5 kg </w:t>
            </w:r>
          </w:p>
          <w:p w:rsidR="004C144E" w:rsidRPr="008317EF" w:rsidRDefault="004C144E" w:rsidP="00507F57">
            <w:pPr>
              <w:rPr>
                <w:rFonts w:asciiTheme="majorHAnsi" w:hAnsiTheme="majorHAnsi"/>
              </w:rPr>
            </w:pP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8317EF">
            <w:pPr>
              <w:rPr>
                <w:rFonts w:asciiTheme="majorHAnsi" w:hAnsiTheme="majorHAnsi"/>
              </w:rPr>
            </w:pPr>
            <w:r w:rsidRPr="008317EF">
              <w:rPr>
                <w:rFonts w:asciiTheme="majorHAnsi" w:hAnsiTheme="majorHAnsi"/>
              </w:rPr>
              <w:t xml:space="preserve">• </w:t>
            </w:r>
            <w:proofErr w:type="gramStart"/>
            <w:r w:rsidRPr="008317EF">
              <w:rPr>
                <w:rFonts w:asciiTheme="majorHAnsi" w:hAnsiTheme="majorHAnsi"/>
              </w:rPr>
              <w:t>relate</w:t>
            </w:r>
            <w:proofErr w:type="gramEnd"/>
            <w:r w:rsidRPr="008317EF">
              <w:rPr>
                <w:rFonts w:asciiTheme="majorHAnsi" w:hAnsiTheme="majorHAnsi"/>
              </w:rPr>
              <w:t xml:space="preserve"> the mass of one litre of water to one kilogram </w:t>
            </w: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4C144E" w:rsidRPr="008317EF" w:rsidTr="004C144E">
        <w:trPr>
          <w:jc w:val="center"/>
        </w:trPr>
        <w:tc>
          <w:tcPr>
            <w:tcW w:w="12157" w:type="dxa"/>
          </w:tcPr>
          <w:p w:rsidR="004C144E" w:rsidRPr="008317EF" w:rsidRDefault="004C144E" w:rsidP="008317EF">
            <w:pPr>
              <w:rPr>
                <w:rFonts w:asciiTheme="majorHAnsi" w:hAnsiTheme="majorHAnsi"/>
              </w:rPr>
            </w:pPr>
          </w:p>
        </w:tc>
        <w:tc>
          <w:tcPr>
            <w:tcW w:w="1123" w:type="dxa"/>
          </w:tcPr>
          <w:p w:rsidR="004C144E" w:rsidRPr="008317EF" w:rsidRDefault="004C144E" w:rsidP="00D77A54">
            <w:pPr>
              <w:shd w:val="clear" w:color="auto" w:fill="FFFFFF"/>
              <w:spacing w:after="75" w:line="286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</w:tr>
    </w:tbl>
    <w:p w:rsidR="007B29B9" w:rsidRPr="008317EF" w:rsidRDefault="007B29B9" w:rsidP="007B29B9">
      <w:pPr>
        <w:rPr>
          <w:rFonts w:asciiTheme="majorHAnsi" w:hAnsiTheme="majorHAnsi"/>
        </w:rPr>
      </w:pPr>
    </w:p>
    <w:sectPr w:rsidR="007B29B9" w:rsidRPr="008317EF" w:rsidSect="00CC0E1D">
      <w:pgSz w:w="16840" w:h="11900" w:orient="landscape"/>
      <w:pgMar w:top="284" w:right="720" w:bottom="284" w:left="72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EB"/>
    <w:multiLevelType w:val="multilevel"/>
    <w:tmpl w:val="9B0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A62EE"/>
    <w:multiLevelType w:val="multilevel"/>
    <w:tmpl w:val="0278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A3530"/>
    <w:multiLevelType w:val="multilevel"/>
    <w:tmpl w:val="429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14DE3"/>
    <w:multiLevelType w:val="multilevel"/>
    <w:tmpl w:val="629C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E1F99"/>
    <w:multiLevelType w:val="multilevel"/>
    <w:tmpl w:val="B98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914ED"/>
    <w:multiLevelType w:val="multilevel"/>
    <w:tmpl w:val="09B2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C23D7"/>
    <w:multiLevelType w:val="multilevel"/>
    <w:tmpl w:val="698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630FA"/>
    <w:multiLevelType w:val="multilevel"/>
    <w:tmpl w:val="3AE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B48EC"/>
    <w:multiLevelType w:val="multilevel"/>
    <w:tmpl w:val="72B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940C1"/>
    <w:multiLevelType w:val="multilevel"/>
    <w:tmpl w:val="E60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A74E4"/>
    <w:multiLevelType w:val="multilevel"/>
    <w:tmpl w:val="3FF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577B3"/>
    <w:multiLevelType w:val="multilevel"/>
    <w:tmpl w:val="A0CA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15FB9"/>
    <w:multiLevelType w:val="multilevel"/>
    <w:tmpl w:val="EC9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F308C"/>
    <w:multiLevelType w:val="multilevel"/>
    <w:tmpl w:val="39B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1358E"/>
    <w:multiLevelType w:val="multilevel"/>
    <w:tmpl w:val="9B3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527E5"/>
    <w:multiLevelType w:val="multilevel"/>
    <w:tmpl w:val="7E1A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672AD"/>
    <w:multiLevelType w:val="multilevel"/>
    <w:tmpl w:val="670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F49CB"/>
    <w:multiLevelType w:val="multilevel"/>
    <w:tmpl w:val="764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A3E74"/>
    <w:multiLevelType w:val="multilevel"/>
    <w:tmpl w:val="637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D3F54"/>
    <w:multiLevelType w:val="multilevel"/>
    <w:tmpl w:val="9B3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7544C"/>
    <w:multiLevelType w:val="multilevel"/>
    <w:tmpl w:val="818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B2A1E"/>
    <w:multiLevelType w:val="multilevel"/>
    <w:tmpl w:val="FDC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36B52"/>
    <w:multiLevelType w:val="multilevel"/>
    <w:tmpl w:val="FA34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43083"/>
    <w:multiLevelType w:val="hybridMultilevel"/>
    <w:tmpl w:val="B4D84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8E2213"/>
    <w:multiLevelType w:val="multilevel"/>
    <w:tmpl w:val="F1D2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76663"/>
    <w:multiLevelType w:val="multilevel"/>
    <w:tmpl w:val="6F3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1093B"/>
    <w:multiLevelType w:val="hybridMultilevel"/>
    <w:tmpl w:val="AE2AF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C60BAF"/>
    <w:multiLevelType w:val="multilevel"/>
    <w:tmpl w:val="C6A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F3C60"/>
    <w:multiLevelType w:val="multilevel"/>
    <w:tmpl w:val="D350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34994"/>
    <w:multiLevelType w:val="multilevel"/>
    <w:tmpl w:val="D98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A0C99"/>
    <w:multiLevelType w:val="multilevel"/>
    <w:tmpl w:val="02C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44BE1"/>
    <w:multiLevelType w:val="multilevel"/>
    <w:tmpl w:val="5A8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4A0640"/>
    <w:multiLevelType w:val="multilevel"/>
    <w:tmpl w:val="E06A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B0C30"/>
    <w:multiLevelType w:val="multilevel"/>
    <w:tmpl w:val="5B5E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425DB5"/>
    <w:multiLevelType w:val="multilevel"/>
    <w:tmpl w:val="8810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756B46"/>
    <w:multiLevelType w:val="multilevel"/>
    <w:tmpl w:val="765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30"/>
  </w:num>
  <w:num w:numId="4">
    <w:abstractNumId w:val="19"/>
  </w:num>
  <w:num w:numId="5">
    <w:abstractNumId w:val="15"/>
  </w:num>
  <w:num w:numId="6">
    <w:abstractNumId w:val="31"/>
  </w:num>
  <w:num w:numId="7">
    <w:abstractNumId w:val="4"/>
  </w:num>
  <w:num w:numId="8">
    <w:abstractNumId w:val="25"/>
  </w:num>
  <w:num w:numId="9">
    <w:abstractNumId w:val="3"/>
  </w:num>
  <w:num w:numId="10">
    <w:abstractNumId w:val="14"/>
  </w:num>
  <w:num w:numId="11">
    <w:abstractNumId w:val="24"/>
  </w:num>
  <w:num w:numId="12">
    <w:abstractNumId w:val="2"/>
  </w:num>
  <w:num w:numId="13">
    <w:abstractNumId w:val="12"/>
  </w:num>
  <w:num w:numId="14">
    <w:abstractNumId w:val="7"/>
  </w:num>
  <w:num w:numId="15">
    <w:abstractNumId w:val="0"/>
  </w:num>
  <w:num w:numId="16">
    <w:abstractNumId w:val="11"/>
  </w:num>
  <w:num w:numId="17">
    <w:abstractNumId w:val="35"/>
  </w:num>
  <w:num w:numId="18">
    <w:abstractNumId w:val="10"/>
  </w:num>
  <w:num w:numId="19">
    <w:abstractNumId w:val="5"/>
  </w:num>
  <w:num w:numId="20">
    <w:abstractNumId w:val="28"/>
  </w:num>
  <w:num w:numId="21">
    <w:abstractNumId w:val="6"/>
  </w:num>
  <w:num w:numId="22">
    <w:abstractNumId w:val="33"/>
  </w:num>
  <w:num w:numId="23">
    <w:abstractNumId w:val="16"/>
  </w:num>
  <w:num w:numId="24">
    <w:abstractNumId w:val="17"/>
  </w:num>
  <w:num w:numId="25">
    <w:abstractNumId w:val="22"/>
  </w:num>
  <w:num w:numId="26">
    <w:abstractNumId w:val="32"/>
  </w:num>
  <w:num w:numId="27">
    <w:abstractNumId w:val="8"/>
  </w:num>
  <w:num w:numId="28">
    <w:abstractNumId w:val="13"/>
  </w:num>
  <w:num w:numId="29">
    <w:abstractNumId w:val="20"/>
  </w:num>
  <w:num w:numId="30">
    <w:abstractNumId w:val="18"/>
  </w:num>
  <w:num w:numId="31">
    <w:abstractNumId w:val="27"/>
  </w:num>
  <w:num w:numId="32">
    <w:abstractNumId w:val="21"/>
  </w:num>
  <w:num w:numId="33">
    <w:abstractNumId w:val="1"/>
  </w:num>
  <w:num w:numId="34">
    <w:abstractNumId w:val="34"/>
  </w:num>
  <w:num w:numId="35">
    <w:abstractNumId w:val="2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B9"/>
    <w:rsid w:val="001165A8"/>
    <w:rsid w:val="00161AC5"/>
    <w:rsid w:val="00175558"/>
    <w:rsid w:val="002419F7"/>
    <w:rsid w:val="002517E0"/>
    <w:rsid w:val="00264FDF"/>
    <w:rsid w:val="00267685"/>
    <w:rsid w:val="00366A26"/>
    <w:rsid w:val="003C4178"/>
    <w:rsid w:val="003F7D99"/>
    <w:rsid w:val="00442675"/>
    <w:rsid w:val="004922EB"/>
    <w:rsid w:val="00492D5C"/>
    <w:rsid w:val="004C144E"/>
    <w:rsid w:val="004E5299"/>
    <w:rsid w:val="0053589D"/>
    <w:rsid w:val="005916F0"/>
    <w:rsid w:val="005A214B"/>
    <w:rsid w:val="00621B5D"/>
    <w:rsid w:val="006F2420"/>
    <w:rsid w:val="00737920"/>
    <w:rsid w:val="007B29B9"/>
    <w:rsid w:val="008317EF"/>
    <w:rsid w:val="008755C2"/>
    <w:rsid w:val="0093278D"/>
    <w:rsid w:val="00973623"/>
    <w:rsid w:val="00976119"/>
    <w:rsid w:val="009916CD"/>
    <w:rsid w:val="009A78FE"/>
    <w:rsid w:val="009D1B5A"/>
    <w:rsid w:val="009F5594"/>
    <w:rsid w:val="00AA6641"/>
    <w:rsid w:val="00AB2D69"/>
    <w:rsid w:val="00AB6A80"/>
    <w:rsid w:val="00AD7495"/>
    <w:rsid w:val="00B15B04"/>
    <w:rsid w:val="00B5753D"/>
    <w:rsid w:val="00BE5968"/>
    <w:rsid w:val="00BE70DA"/>
    <w:rsid w:val="00C24A57"/>
    <w:rsid w:val="00C415FC"/>
    <w:rsid w:val="00C5601B"/>
    <w:rsid w:val="00C8091C"/>
    <w:rsid w:val="00C96ED2"/>
    <w:rsid w:val="00CA1B30"/>
    <w:rsid w:val="00CC0E1D"/>
    <w:rsid w:val="00CE752B"/>
    <w:rsid w:val="00CF138A"/>
    <w:rsid w:val="00D760AF"/>
    <w:rsid w:val="00D77A54"/>
    <w:rsid w:val="00DC3693"/>
    <w:rsid w:val="00F14919"/>
    <w:rsid w:val="00F257BC"/>
    <w:rsid w:val="00F84F1F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29B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29B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B29B9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9B9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29B9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B29B9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7B29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B29B9"/>
  </w:style>
  <w:style w:type="character" w:customStyle="1" w:styleId="ref">
    <w:name w:val="ref"/>
    <w:basedOn w:val="DefaultParagraphFont"/>
    <w:rsid w:val="007B29B9"/>
  </w:style>
  <w:style w:type="character" w:styleId="Hyperlink">
    <w:name w:val="Hyperlink"/>
    <w:basedOn w:val="DefaultParagraphFont"/>
    <w:uiPriority w:val="99"/>
    <w:semiHidden/>
    <w:unhideWhenUsed/>
    <w:rsid w:val="007B29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B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B2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29B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29B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B29B9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9B9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29B9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B29B9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7B29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B29B9"/>
  </w:style>
  <w:style w:type="character" w:customStyle="1" w:styleId="ref">
    <w:name w:val="ref"/>
    <w:basedOn w:val="DefaultParagraphFont"/>
    <w:rsid w:val="007B29B9"/>
  </w:style>
  <w:style w:type="character" w:styleId="Hyperlink">
    <w:name w:val="Hyperlink"/>
    <w:basedOn w:val="DefaultParagraphFont"/>
    <w:uiPriority w:val="99"/>
    <w:semiHidden/>
    <w:unhideWhenUsed/>
    <w:rsid w:val="007B29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B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B2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4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NSW DEC .</cp:lastModifiedBy>
  <cp:revision>2</cp:revision>
  <dcterms:created xsi:type="dcterms:W3CDTF">2015-01-19T03:04:00Z</dcterms:created>
  <dcterms:modified xsi:type="dcterms:W3CDTF">2015-01-19T03:04:00Z</dcterms:modified>
</cp:coreProperties>
</file>