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78" w:rsidRPr="00501021" w:rsidRDefault="00562C78" w:rsidP="00562C78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>
        <w:rPr>
          <w:rFonts w:asciiTheme="minorHAnsi" w:hAnsiTheme="minorHAnsi"/>
          <w:b/>
          <w:sz w:val="24"/>
          <w:szCs w:val="24"/>
        </w:rPr>
        <w:tab/>
        <w:t>STAG</w:t>
      </w:r>
      <w:r w:rsidRPr="00501021">
        <w:rPr>
          <w:rFonts w:asciiTheme="minorHAnsi" w:hAnsiTheme="minorHAnsi"/>
          <w:b/>
          <w:sz w:val="24"/>
          <w:szCs w:val="24"/>
        </w:rPr>
        <w:t>E 1</w:t>
      </w:r>
    </w:p>
    <w:p w:rsidR="00562C78" w:rsidRPr="00501021" w:rsidRDefault="00562C78" w:rsidP="00562C78">
      <w:pPr>
        <w:spacing w:after="120"/>
        <w:rPr>
          <w:rFonts w:asciiTheme="minorHAnsi" w:hAnsiTheme="minorHAnsi"/>
          <w:b/>
          <w:color w:val="008000"/>
          <w:sz w:val="24"/>
          <w:szCs w:val="24"/>
        </w:rPr>
      </w:pPr>
      <w:r w:rsidRPr="00501021">
        <w:rPr>
          <w:rFonts w:asciiTheme="minorHAnsi" w:hAnsiTheme="minorHAnsi"/>
          <w:b/>
          <w:color w:val="008000"/>
          <w:sz w:val="24"/>
          <w:szCs w:val="24"/>
        </w:rPr>
        <w:t xml:space="preserve">                                         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562C78" w:rsidRPr="00501021" w:rsidTr="00562C78">
        <w:trPr>
          <w:trHeight w:hRule="exact" w:val="624"/>
        </w:trPr>
        <w:tc>
          <w:tcPr>
            <w:tcW w:w="1519" w:type="dxa"/>
            <w:shd w:val="clear" w:color="auto" w:fill="C2D69B"/>
          </w:tcPr>
          <w:p w:rsidR="00562C78" w:rsidRPr="00501021" w:rsidRDefault="00562C78" w:rsidP="00562C7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TERM:</w:t>
            </w:r>
            <w:r w:rsidRPr="0050102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C2D69B"/>
          </w:tcPr>
          <w:p w:rsidR="00562C78" w:rsidRPr="00501021" w:rsidRDefault="00562C78" w:rsidP="00562C7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WEEK:</w:t>
            </w:r>
            <w:r w:rsidRPr="00501021">
              <w:rPr>
                <w:rFonts w:asciiTheme="minorHAnsi" w:hAnsiTheme="minorHAnsi"/>
                <w:b w:val="0"/>
                <w:szCs w:val="24"/>
              </w:rPr>
              <w:t xml:space="preserve">  3</w:t>
            </w:r>
          </w:p>
        </w:tc>
        <w:tc>
          <w:tcPr>
            <w:tcW w:w="4229" w:type="dxa"/>
            <w:shd w:val="clear" w:color="auto" w:fill="C2D69B"/>
          </w:tcPr>
          <w:p w:rsidR="00562C78" w:rsidRPr="00501021" w:rsidRDefault="00562C78" w:rsidP="00562C7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STRAND:</w:t>
            </w:r>
            <w:r w:rsidRPr="00501021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501021">
              <w:rPr>
                <w:rFonts w:asciiTheme="minorHAnsi" w:hAnsiTheme="minorHAnsi"/>
                <w:szCs w:val="24"/>
              </w:rPr>
              <w:t xml:space="preserve"> </w:t>
            </w:r>
          </w:p>
          <w:p w:rsidR="00562C78" w:rsidRPr="00501021" w:rsidRDefault="00562C78" w:rsidP="00562C7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b w:val="0"/>
                <w:szCs w:val="24"/>
              </w:rPr>
              <w:t>Measurement and Geometry</w:t>
            </w:r>
          </w:p>
        </w:tc>
        <w:tc>
          <w:tcPr>
            <w:tcW w:w="4229" w:type="dxa"/>
            <w:shd w:val="clear" w:color="auto" w:fill="C2D69B"/>
          </w:tcPr>
          <w:p w:rsidR="00562C78" w:rsidRPr="00501021" w:rsidRDefault="00562C78" w:rsidP="00562C78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501021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SUB-STRAND:</w:t>
            </w:r>
            <w:r w:rsidRPr="00501021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</w:p>
          <w:p w:rsidR="00562C78" w:rsidRPr="00501021" w:rsidRDefault="00562C78" w:rsidP="00562C78">
            <w:pPr>
              <w:rPr>
                <w:rFonts w:asciiTheme="minorHAnsi" w:hAnsiTheme="minorHAnsi"/>
                <w:sz w:val="24"/>
                <w:szCs w:val="24"/>
              </w:rPr>
            </w:pPr>
            <w:r w:rsidRPr="00501021">
              <w:rPr>
                <w:rFonts w:asciiTheme="minorHAnsi" w:hAnsiTheme="minorHAnsi"/>
                <w:sz w:val="24"/>
                <w:szCs w:val="24"/>
                <w:lang w:eastAsia="en-AU"/>
              </w:rPr>
              <w:t>Mass 2</w:t>
            </w:r>
          </w:p>
        </w:tc>
        <w:tc>
          <w:tcPr>
            <w:tcW w:w="4229" w:type="dxa"/>
            <w:shd w:val="clear" w:color="auto" w:fill="C2D69B"/>
          </w:tcPr>
          <w:p w:rsidR="00562C78" w:rsidRPr="00501021" w:rsidRDefault="00562C78" w:rsidP="00562C78">
            <w:pPr>
              <w:rPr>
                <w:rFonts w:asciiTheme="minorHAnsi" w:hAnsiTheme="minorHAnsi"/>
                <w:sz w:val="24"/>
                <w:szCs w:val="24"/>
              </w:rPr>
            </w:pPr>
            <w:r w:rsidRPr="00501021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Pr="0050102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62C78" w:rsidRPr="00501021" w:rsidRDefault="00562C78" w:rsidP="00562C78">
            <w:pPr>
              <w:rPr>
                <w:rFonts w:asciiTheme="minorHAnsi" w:hAnsiTheme="minorHAnsi"/>
                <w:sz w:val="24"/>
                <w:szCs w:val="24"/>
              </w:rPr>
            </w:pPr>
            <w:r w:rsidRPr="00501021">
              <w:rPr>
                <w:rFonts w:asciiTheme="minorHAnsi" w:hAnsiTheme="minorHAnsi"/>
                <w:sz w:val="24"/>
                <w:szCs w:val="24"/>
              </w:rPr>
              <w:t>MA1-1WM    MA1-4WM    MA1-3WM</w:t>
            </w:r>
          </w:p>
        </w:tc>
      </w:tr>
      <w:tr w:rsidR="00562C78" w:rsidRPr="00501021" w:rsidTr="00562C78">
        <w:trPr>
          <w:trHeight w:hRule="exact" w:val="802"/>
        </w:trPr>
        <w:tc>
          <w:tcPr>
            <w:tcW w:w="3070" w:type="dxa"/>
            <w:gridSpan w:val="2"/>
            <w:shd w:val="clear" w:color="auto" w:fill="FFFFCC"/>
          </w:tcPr>
          <w:p w:rsidR="00562C78" w:rsidRPr="00501021" w:rsidRDefault="00562C78" w:rsidP="00562C78">
            <w:pPr>
              <w:pStyle w:val="Heading2"/>
              <w:rPr>
                <w:rFonts w:asciiTheme="minorHAnsi" w:hAnsiTheme="minorHAnsi"/>
                <w:szCs w:val="24"/>
              </w:rPr>
            </w:pPr>
            <w:bookmarkStart w:id="0" w:name="_GoBack" w:colFirst="1" w:colLast="1"/>
            <w:r w:rsidRPr="00501021">
              <w:rPr>
                <w:rFonts w:asciiTheme="minorHAnsi" w:hAnsiTheme="minorHAnsi"/>
                <w:szCs w:val="24"/>
              </w:rPr>
              <w:t xml:space="preserve">OUTCOMES: </w:t>
            </w:r>
            <w:r w:rsidRPr="00501021">
              <w:rPr>
                <w:rStyle w:val="Strong"/>
                <w:rFonts w:asciiTheme="minorHAnsi" w:hAnsiTheme="minorHAnsi" w:cs="Helvetica"/>
                <w:szCs w:val="24"/>
              </w:rPr>
              <w:t>MA1-12MG</w:t>
            </w:r>
            <w:r w:rsidRPr="00501021">
              <w:rPr>
                <w:rStyle w:val="apple-converted-space"/>
                <w:rFonts w:asciiTheme="minorHAnsi" w:hAnsiTheme="minorHAnsi" w:cs="Helvetica"/>
                <w:szCs w:val="24"/>
              </w:rPr>
              <w:t> </w:t>
            </w:r>
          </w:p>
        </w:tc>
        <w:tc>
          <w:tcPr>
            <w:tcW w:w="12687" w:type="dxa"/>
            <w:gridSpan w:val="3"/>
          </w:tcPr>
          <w:p w:rsidR="00562C78" w:rsidRPr="00562C78" w:rsidRDefault="00562C78" w:rsidP="00562C78">
            <w:pPr>
              <w:spacing w:line="300" w:lineRule="atLeast"/>
              <w:rPr>
                <w:rFonts w:ascii="Calibri" w:hAnsi="Calibri" w:cs="Helvetica"/>
                <w:b/>
              </w:rPr>
            </w:pPr>
            <w:r w:rsidRPr="00562C78">
              <w:rPr>
                <w:rFonts w:ascii="Calibri" w:hAnsi="Calibri" w:cs="Helvetica"/>
                <w:b/>
              </w:rPr>
              <w:t>Measures, records, compares and estimates the masses of objects using uniform informal units</w:t>
            </w:r>
          </w:p>
          <w:p w:rsidR="00562C78" w:rsidRPr="00562C78" w:rsidRDefault="00562C78" w:rsidP="00562C78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562C78" w:rsidRPr="00501021" w:rsidTr="00562C78">
        <w:trPr>
          <w:trHeight w:hRule="exact" w:val="1597"/>
        </w:trPr>
        <w:tc>
          <w:tcPr>
            <w:tcW w:w="3070" w:type="dxa"/>
            <w:gridSpan w:val="2"/>
            <w:shd w:val="clear" w:color="auto" w:fill="FFFFCC"/>
          </w:tcPr>
          <w:p w:rsidR="00562C78" w:rsidRPr="00501021" w:rsidRDefault="00562C78" w:rsidP="00562C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01021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562C78" w:rsidRPr="00501021" w:rsidRDefault="00562C78" w:rsidP="00562C7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87" w:type="dxa"/>
            <w:gridSpan w:val="3"/>
          </w:tcPr>
          <w:p w:rsidR="00562C78" w:rsidRPr="00562C78" w:rsidRDefault="00562C78" w:rsidP="00562C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562C78">
              <w:rPr>
                <w:rFonts w:ascii="Calibri" w:hAnsi="Calibri" w:cs="Helvetica"/>
                <w:b/>
                <w:color w:val="000000"/>
              </w:rPr>
              <w:t>Compare the masses of objects using balance scales 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 w:line="286" w:lineRule="atLeast"/>
              <w:rPr>
                <w:rFonts w:ascii="Calibri" w:hAnsi="Calibri" w:cs="Helvetica"/>
                <w:color w:val="000000"/>
              </w:rPr>
            </w:pPr>
            <w:proofErr w:type="gramStart"/>
            <w:r w:rsidRPr="00562C78">
              <w:rPr>
                <w:rFonts w:ascii="Calibri" w:hAnsi="Calibri" w:cs="Helvetica"/>
                <w:color w:val="000000"/>
              </w:rPr>
              <w:t>use</w:t>
            </w:r>
            <w:proofErr w:type="gramEnd"/>
            <w:r w:rsidRPr="00562C78">
              <w:rPr>
                <w:rFonts w:ascii="Calibri" w:hAnsi="Calibri" w:cs="Helvetica"/>
                <w:color w:val="000000"/>
              </w:rPr>
              <w:t xml:space="preserve"> uniform units to measure the mass of an object by counting the number of units needed to obtain a level balance on a pan balance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 w:line="286" w:lineRule="atLeast"/>
              <w:rPr>
                <w:rFonts w:ascii="Calibri" w:hAnsi="Calibri" w:cs="Helvetica"/>
                <w:b/>
                <w:color w:val="000000"/>
              </w:rPr>
            </w:pPr>
            <w:proofErr w:type="gramStart"/>
            <w:r w:rsidRPr="00562C78">
              <w:rPr>
                <w:rFonts w:ascii="Calibri" w:hAnsi="Calibri" w:cs="Helvetica"/>
                <w:color w:val="000000"/>
              </w:rPr>
              <w:t>select</w:t>
            </w:r>
            <w:proofErr w:type="gramEnd"/>
            <w:r w:rsidRPr="00562C78">
              <w:rPr>
                <w:rFonts w:ascii="Calibri" w:hAnsi="Calibri" w:cs="Helvetica"/>
                <w:color w:val="000000"/>
              </w:rPr>
              <w:t xml:space="preserve"> an appropriate uniform informal unit to measure the mass of an object and justify the choice (Problem Solving</w:t>
            </w:r>
            <w:r w:rsidRPr="00562C78">
              <w:rPr>
                <w:rFonts w:ascii="Calibri" w:hAnsi="Calibri" w:cs="Helvetica"/>
                <w:b/>
                <w:color w:val="000000"/>
              </w:rPr>
              <w:t>)</w:t>
            </w:r>
          </w:p>
          <w:p w:rsidR="00562C78" w:rsidRPr="00562C78" w:rsidRDefault="00562C78" w:rsidP="00562C78">
            <w:pPr>
              <w:pStyle w:val="ListParagraph"/>
              <w:shd w:val="clear" w:color="auto" w:fill="FFFFFF"/>
              <w:spacing w:after="75" w:line="286" w:lineRule="atLeast"/>
              <w:ind w:left="360"/>
              <w:rPr>
                <w:rFonts w:ascii="Calibri" w:hAnsi="Calibri"/>
                <w:b/>
              </w:rPr>
            </w:pPr>
          </w:p>
        </w:tc>
      </w:tr>
      <w:tr w:rsidR="00562C78" w:rsidRPr="004A4DA4" w:rsidTr="00562C78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:rsidR="00562C78" w:rsidRPr="004A4DA4" w:rsidRDefault="00562C78" w:rsidP="00562C78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ASSESSMENT FOR L</w:t>
            </w:r>
            <w:r w:rsidRPr="004A4DA4">
              <w:rPr>
                <w:rFonts w:ascii="Calibri" w:hAnsi="Calibri"/>
                <w:szCs w:val="24"/>
              </w:rPr>
              <w:t>EARNING</w:t>
            </w:r>
          </w:p>
          <w:p w:rsidR="00562C78" w:rsidRPr="004A4DA4" w:rsidRDefault="00562C78" w:rsidP="00562C78">
            <w:pPr>
              <w:rPr>
                <w:rFonts w:ascii="Calibri" w:hAnsi="Calibri"/>
                <w:sz w:val="24"/>
                <w:szCs w:val="24"/>
                <w:lang w:eastAsia="en-AU"/>
              </w:rPr>
            </w:pPr>
            <w:r w:rsidRPr="004A4DA4">
              <w:rPr>
                <w:rFonts w:ascii="Calibri" w:hAnsi="Calibr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</w:tcPr>
          <w:p w:rsidR="00562C78" w:rsidRPr="00562C78" w:rsidRDefault="00562C78" w:rsidP="00562C78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 w:line="286" w:lineRule="atLeast"/>
              <w:rPr>
                <w:rFonts w:ascii="Calibri" w:hAnsi="Calibri"/>
              </w:rPr>
            </w:pPr>
            <w:r w:rsidRPr="00562C78">
              <w:rPr>
                <w:rFonts w:ascii="Calibri" w:hAnsi="Calibri"/>
              </w:rPr>
              <w:t>Can students put different objects in the pans of balance and state which object is heavier?</w:t>
            </w:r>
          </w:p>
          <w:p w:rsidR="00562C78" w:rsidRPr="00562C78" w:rsidRDefault="00562C78" w:rsidP="00562C78">
            <w:pPr>
              <w:pStyle w:val="ListParagraph"/>
              <w:shd w:val="clear" w:color="auto" w:fill="FFFFFF"/>
              <w:spacing w:after="75" w:line="286" w:lineRule="atLeast"/>
              <w:rPr>
                <w:rFonts w:ascii="Calibri" w:hAnsi="Calibri"/>
              </w:rPr>
            </w:pPr>
          </w:p>
        </w:tc>
      </w:tr>
      <w:tr w:rsidR="00562C78" w:rsidRPr="004A4DA4" w:rsidTr="00562C78">
        <w:trPr>
          <w:trHeight w:hRule="exact" w:val="860"/>
        </w:trPr>
        <w:tc>
          <w:tcPr>
            <w:tcW w:w="3070" w:type="dxa"/>
            <w:gridSpan w:val="2"/>
            <w:shd w:val="clear" w:color="auto" w:fill="FFFFCC"/>
          </w:tcPr>
          <w:p w:rsidR="00562C78" w:rsidRPr="004A4DA4" w:rsidRDefault="00562C78" w:rsidP="00562C78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</w:tcPr>
          <w:p w:rsidR="00562C78" w:rsidRPr="00562C78" w:rsidRDefault="00562C78" w:rsidP="00562C7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75" w:line="286" w:lineRule="atLeast"/>
              <w:ind w:left="758"/>
              <w:rPr>
                <w:rFonts w:ascii="Calibri" w:hAnsi="Calibri"/>
              </w:rPr>
            </w:pPr>
            <w:r w:rsidRPr="00562C78">
              <w:rPr>
                <w:rFonts w:ascii="Calibri" w:hAnsi="Calibri"/>
              </w:rPr>
              <w:t>Worksheet – Language of mass</w:t>
            </w:r>
          </w:p>
        </w:tc>
      </w:tr>
      <w:bookmarkEnd w:id="0"/>
      <w:tr w:rsidR="00562C78" w:rsidRPr="004A4DA4" w:rsidTr="00562C78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:rsidR="00562C78" w:rsidRDefault="00562C78" w:rsidP="00562C78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TENS ACTIVITY</w:t>
            </w:r>
          </w:p>
          <w:p w:rsidR="00562C78" w:rsidRDefault="00562C78" w:rsidP="00562C78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NEWMAN’S PROBLEM</w:t>
            </w:r>
          </w:p>
          <w:p w:rsidR="00562C78" w:rsidRPr="006D1864" w:rsidRDefault="00562C78" w:rsidP="00562C78">
            <w:pPr>
              <w:pStyle w:val="Heading2"/>
              <w:rPr>
                <w:rFonts w:ascii="Calibri" w:hAnsi="Calibri"/>
                <w:szCs w:val="24"/>
              </w:rPr>
            </w:pPr>
            <w:r w:rsidRPr="006D1864">
              <w:rPr>
                <w:rFonts w:ascii="Calibri" w:hAnsi="Calibri"/>
                <w:szCs w:val="24"/>
              </w:rPr>
              <w:t xml:space="preserve">INVESTIGATION </w:t>
            </w:r>
          </w:p>
          <w:p w:rsidR="00562C78" w:rsidRPr="006D1864" w:rsidRDefault="00562C78" w:rsidP="00562C78">
            <w:pPr>
              <w:pStyle w:val="Heading2"/>
            </w:pPr>
          </w:p>
        </w:tc>
        <w:tc>
          <w:tcPr>
            <w:tcW w:w="12687" w:type="dxa"/>
            <w:gridSpan w:val="3"/>
          </w:tcPr>
          <w:p w:rsidR="00562C78" w:rsidRPr="004A4DA4" w:rsidRDefault="00562C78" w:rsidP="00562C78">
            <w:pPr>
              <w:pStyle w:val="Heading2"/>
              <w:rPr>
                <w:rFonts w:ascii="Calibri" w:hAnsi="Calibri"/>
                <w:szCs w:val="24"/>
              </w:rPr>
            </w:pPr>
          </w:p>
        </w:tc>
      </w:tr>
      <w:tr w:rsidR="00562C78" w:rsidRPr="004A4DA4" w:rsidTr="00562C78">
        <w:trPr>
          <w:trHeight w:val="378"/>
        </w:trPr>
        <w:tc>
          <w:tcPr>
            <w:tcW w:w="3070" w:type="dxa"/>
            <w:gridSpan w:val="2"/>
            <w:vMerge w:val="restart"/>
            <w:shd w:val="clear" w:color="auto" w:fill="FFFFCC"/>
          </w:tcPr>
          <w:p w:rsidR="00562C78" w:rsidRPr="004A4DA4" w:rsidRDefault="00562C78" w:rsidP="00562C78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/>
          </w:tcPr>
          <w:p w:rsidR="00562C78" w:rsidRPr="00D41A1D" w:rsidRDefault="00562C78" w:rsidP="00562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="Calibri" w:hAnsi="Calibr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/>
          </w:tcPr>
          <w:p w:rsidR="00562C78" w:rsidRPr="00D41A1D" w:rsidRDefault="00562C78" w:rsidP="00562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="Calibri" w:hAnsi="Calibr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/>
          </w:tcPr>
          <w:p w:rsidR="00562C78" w:rsidRPr="00D41A1D" w:rsidRDefault="00562C78" w:rsidP="00562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SIGNIFICANCE</w:t>
            </w:r>
          </w:p>
        </w:tc>
      </w:tr>
      <w:tr w:rsidR="00562C78" w:rsidRPr="004A4DA4" w:rsidTr="00562C78">
        <w:trPr>
          <w:trHeight w:hRule="exact" w:val="1848"/>
        </w:trPr>
        <w:tc>
          <w:tcPr>
            <w:tcW w:w="3070" w:type="dxa"/>
            <w:gridSpan w:val="2"/>
            <w:vMerge/>
            <w:shd w:val="clear" w:color="auto" w:fill="FFFFCC"/>
          </w:tcPr>
          <w:p w:rsidR="00562C78" w:rsidRPr="004A4DA4" w:rsidRDefault="00562C78" w:rsidP="00562C78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4229" w:type="dxa"/>
          </w:tcPr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508" w:hanging="426"/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understanding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="Calibri" w:hAnsi="Calibr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="Calibri" w:hAnsi="Calibr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thinking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Metalanguage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ind w:left="459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</w:tcPr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Explicit quality criteria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Engagement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 expectations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Social support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Students’ self-regulation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</w:tcPr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Background knowledge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Cultural knowledge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 integration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 xml:space="preserve">Inclusivity 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Connectedness</w:t>
            </w:r>
          </w:p>
          <w:p w:rsidR="00562C78" w:rsidRPr="00D41A1D" w:rsidRDefault="00562C78" w:rsidP="00562C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562C78" w:rsidRPr="004A4DA4" w:rsidTr="00562C78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:rsidR="00562C78" w:rsidRPr="004A4DA4" w:rsidRDefault="00562C78" w:rsidP="00562C78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:rsidR="00562C78" w:rsidRPr="004A4DA4" w:rsidRDefault="00562C78" w:rsidP="00562C78">
            <w:pPr>
              <w:ind w:left="720" w:hanging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Worksheet – Language of mass</w:t>
            </w:r>
          </w:p>
        </w:tc>
      </w:tr>
    </w:tbl>
    <w:p w:rsidR="00562C78" w:rsidRPr="008F4588" w:rsidRDefault="00562C78" w:rsidP="00562C78">
      <w:pPr>
        <w:spacing w:after="120"/>
        <w:rPr>
          <w:rFonts w:ascii="Calibri" w:hAnsi="Calibri"/>
          <w:b/>
          <w:color w:val="008000"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562C78" w:rsidRPr="004A4DA4" w:rsidTr="00562C78">
        <w:trPr>
          <w:trHeight w:hRule="exact" w:val="633"/>
        </w:trPr>
        <w:tc>
          <w:tcPr>
            <w:tcW w:w="3936" w:type="dxa"/>
            <w:shd w:val="clear" w:color="auto" w:fill="C2D69B"/>
          </w:tcPr>
          <w:p w:rsidR="00562C78" w:rsidRPr="004A4DA4" w:rsidRDefault="00562C78" w:rsidP="00562C78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lastRenderedPageBreak/>
              <w:t>WHOLE CLASS INSTRUCTION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/>
          </w:tcPr>
          <w:p w:rsidR="00562C78" w:rsidRPr="004A4DA4" w:rsidRDefault="00562C78" w:rsidP="00562C78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 xml:space="preserve">GUIDED </w:t>
            </w:r>
            <w:r>
              <w:rPr>
                <w:rFonts w:ascii="Calibri" w:hAnsi="Calibri"/>
                <w:szCs w:val="24"/>
              </w:rPr>
              <w:t xml:space="preserve">&amp; </w:t>
            </w:r>
            <w:r w:rsidRPr="004A4DA4">
              <w:rPr>
                <w:rFonts w:ascii="Calibri" w:hAnsi="Calibri"/>
                <w:szCs w:val="24"/>
              </w:rPr>
              <w:t>INDEPENDENT ACTIVITIES</w:t>
            </w:r>
          </w:p>
        </w:tc>
      </w:tr>
      <w:tr w:rsidR="00562C78" w:rsidRPr="004A4DA4" w:rsidTr="00562C78">
        <w:trPr>
          <w:trHeight w:val="1608"/>
        </w:trPr>
        <w:tc>
          <w:tcPr>
            <w:tcW w:w="3936" w:type="dxa"/>
            <w:vMerge w:val="restart"/>
          </w:tcPr>
          <w:p w:rsidR="00562C78" w:rsidRPr="00562C78" w:rsidRDefault="00562C78" w:rsidP="00562C78">
            <w:pPr>
              <w:pStyle w:val="Heading2"/>
              <w:numPr>
                <w:ilvl w:val="0"/>
                <w:numId w:val="13"/>
              </w:numPr>
              <w:ind w:left="426"/>
              <w:rPr>
                <w:rFonts w:ascii="Calibri" w:hAnsi="Calibri"/>
                <w:b w:val="0"/>
                <w:sz w:val="20"/>
              </w:rPr>
            </w:pPr>
            <w:r w:rsidRPr="00562C78">
              <w:rPr>
                <w:rFonts w:ascii="Calibri" w:hAnsi="Calibri"/>
                <w:b w:val="0"/>
                <w:sz w:val="20"/>
              </w:rPr>
              <w:t>Revise how to use an equal arm balance.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="Calibri" w:hAnsi="Calibri"/>
                <w:lang w:eastAsia="en-AU"/>
              </w:rPr>
            </w:pPr>
            <w:r w:rsidRPr="00562C78">
              <w:rPr>
                <w:rFonts w:ascii="Calibri" w:hAnsi="Calibri"/>
                <w:lang w:eastAsia="en-AU"/>
              </w:rPr>
              <w:t>Introduce activities and explain what to do and how to record.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="Calibri" w:hAnsi="Calibri"/>
                <w:lang w:eastAsia="en-AU"/>
              </w:rPr>
            </w:pPr>
            <w:r w:rsidRPr="00562C78">
              <w:rPr>
                <w:rFonts w:ascii="Calibri" w:hAnsi="Calibri"/>
                <w:lang w:eastAsia="en-AU"/>
              </w:rPr>
              <w:t xml:space="preserve">Students will work in groups with an equal arm balance to complete assigned tasks. 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="Calibri" w:hAnsi="Calibri"/>
                <w:lang w:eastAsia="en-AU"/>
              </w:rPr>
            </w:pPr>
            <w:r w:rsidRPr="00562C78">
              <w:rPr>
                <w:rFonts w:ascii="Calibri" w:hAnsi="Calibri"/>
                <w:lang w:eastAsia="en-AU"/>
              </w:rPr>
              <w:t>Students will record and discuss findings.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="Calibri" w:hAnsi="Calibri"/>
                <w:lang w:eastAsia="en-AU"/>
              </w:rPr>
            </w:pPr>
            <w:r w:rsidRPr="00562C78">
              <w:rPr>
                <w:rFonts w:ascii="Calibri" w:hAnsi="Calibri"/>
                <w:lang w:eastAsia="en-AU"/>
              </w:rPr>
              <w:t>Students discuss difficulties using equal arm balance, material or items.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="Calibri" w:hAnsi="Calibri"/>
                <w:lang w:eastAsia="en-AU"/>
              </w:rPr>
            </w:pPr>
            <w:r w:rsidRPr="00562C78">
              <w:rPr>
                <w:rFonts w:ascii="Calibri" w:hAnsi="Calibri"/>
                <w:lang w:eastAsia="en-AU"/>
              </w:rPr>
              <w:t xml:space="preserve">Whole class discussion on the conservation of mass. 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="Calibri" w:hAnsi="Calibri"/>
                <w:lang w:eastAsia="en-AU"/>
              </w:rPr>
            </w:pPr>
            <w:r w:rsidRPr="00562C78">
              <w:rPr>
                <w:rFonts w:ascii="Calibri" w:hAnsi="Calibri"/>
                <w:lang w:eastAsia="en-AU"/>
              </w:rPr>
              <w:t>Students will find out how many identical units will balance a given mass.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="Calibri" w:hAnsi="Calibri"/>
                <w:lang w:eastAsia="en-AU"/>
              </w:rPr>
            </w:pPr>
            <w:r w:rsidRPr="00562C78">
              <w:rPr>
                <w:rFonts w:ascii="Calibri" w:hAnsi="Calibri"/>
                <w:lang w:eastAsia="en-AU"/>
              </w:rPr>
              <w:t>Students suggest appropriate units to measure and explain why some unit are better than others.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="Calibri" w:hAnsi="Calibri"/>
                <w:lang w:eastAsia="en-AU"/>
              </w:rPr>
            </w:pPr>
            <w:r w:rsidRPr="00562C78">
              <w:rPr>
                <w:rFonts w:ascii="Calibri" w:hAnsi="Calibri"/>
                <w:lang w:eastAsia="en-AU"/>
              </w:rPr>
              <w:t xml:space="preserve">Students have a recording book to record findings and activities. 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="Calibri" w:hAnsi="Calibri"/>
                <w:lang w:eastAsia="en-AU"/>
              </w:rPr>
            </w:pPr>
            <w:r w:rsidRPr="00562C78">
              <w:rPr>
                <w:rFonts w:ascii="Calibri" w:hAnsi="Calibri"/>
                <w:lang w:eastAsia="en-AU"/>
              </w:rPr>
              <w:t>Opportunities should be provided for free play using balance beams.</w:t>
            </w:r>
          </w:p>
          <w:p w:rsidR="00562C78" w:rsidRPr="00B24FB1" w:rsidRDefault="00562C78" w:rsidP="00562C78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shd w:val="clear" w:color="auto" w:fill="FFFFCC"/>
          </w:tcPr>
          <w:p w:rsidR="00562C78" w:rsidRPr="004A4DA4" w:rsidRDefault="00562C78" w:rsidP="00562C78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:rsidR="00562C78" w:rsidRDefault="00562C78" w:rsidP="00562C78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:rsidR="00562C78" w:rsidRDefault="00562C78" w:rsidP="00562C78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Remediation</w:t>
            </w:r>
          </w:p>
          <w:p w:rsidR="00562C78" w:rsidRPr="004A4DA4" w:rsidRDefault="00562C78" w:rsidP="00562C78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ES1 </w:t>
            </w:r>
          </w:p>
        </w:tc>
        <w:tc>
          <w:tcPr>
            <w:tcW w:w="9639" w:type="dxa"/>
          </w:tcPr>
          <w:p w:rsidR="00562C78" w:rsidRPr="00562C78" w:rsidRDefault="00562C78" w:rsidP="00562C78">
            <w:pPr>
              <w:ind w:left="837"/>
              <w:rPr>
                <w:rFonts w:asciiTheme="majorHAnsi" w:hAnsiTheme="majorHAnsi"/>
              </w:rPr>
            </w:pP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12"/>
              </w:numPr>
              <w:spacing w:before="43" w:line="250" w:lineRule="auto"/>
              <w:ind w:right="167"/>
              <w:rPr>
                <w:rFonts w:asciiTheme="majorHAnsi" w:hAnsiTheme="majorHAnsi"/>
              </w:rPr>
            </w:pPr>
            <w:r w:rsidRPr="00562C78">
              <w:rPr>
                <w:rFonts w:asciiTheme="majorHAnsi" w:hAnsiTheme="majorHAnsi"/>
                <w:color w:val="363435"/>
              </w:rPr>
              <w:t>Students</w:t>
            </w:r>
            <w:r w:rsidRPr="00562C78">
              <w:rPr>
                <w:rFonts w:asciiTheme="majorHAnsi" w:hAnsiTheme="majorHAnsi"/>
                <w:color w:val="363435"/>
                <w:spacing w:val="50"/>
              </w:rPr>
              <w:t xml:space="preserve"> </w:t>
            </w:r>
            <w:r w:rsidRPr="00562C78">
              <w:rPr>
                <w:rFonts w:asciiTheme="majorHAnsi" w:hAnsiTheme="majorHAnsi"/>
                <w:color w:val="363435"/>
              </w:rPr>
              <w:t>are</w:t>
            </w:r>
            <w:r w:rsidRPr="00562C78">
              <w:rPr>
                <w:rFonts w:asciiTheme="majorHAnsi" w:hAnsiTheme="majorHAnsi"/>
                <w:color w:val="363435"/>
                <w:spacing w:val="12"/>
              </w:rPr>
              <w:t xml:space="preserve"> </w:t>
            </w:r>
            <w:r w:rsidRPr="00562C78">
              <w:rPr>
                <w:rFonts w:asciiTheme="majorHAnsi" w:hAnsiTheme="majorHAnsi"/>
                <w:color w:val="363435"/>
              </w:rPr>
              <w:t>each</w:t>
            </w:r>
            <w:r w:rsidRPr="00562C78">
              <w:rPr>
                <w:rFonts w:asciiTheme="majorHAnsi" w:hAnsiTheme="majorHAnsi"/>
                <w:color w:val="363435"/>
                <w:spacing w:val="13"/>
              </w:rPr>
              <w:t xml:space="preserve"> </w:t>
            </w:r>
            <w:r w:rsidRPr="00562C78">
              <w:rPr>
                <w:rFonts w:asciiTheme="majorHAnsi" w:hAnsiTheme="majorHAnsi"/>
                <w:color w:val="363435"/>
              </w:rPr>
              <w:t>given a bag containing</w:t>
            </w:r>
            <w:r w:rsidRPr="00562C78">
              <w:rPr>
                <w:rFonts w:asciiTheme="majorHAnsi" w:hAnsiTheme="majorHAnsi"/>
                <w:color w:val="363435"/>
                <w:spacing w:val="51"/>
              </w:rPr>
              <w:t xml:space="preserve"> </w:t>
            </w:r>
            <w:r w:rsidRPr="00562C78">
              <w:rPr>
                <w:rFonts w:asciiTheme="majorHAnsi" w:hAnsiTheme="majorHAnsi"/>
                <w:color w:val="363435"/>
              </w:rPr>
              <w:t>a mass.</w:t>
            </w:r>
            <w:r w:rsidRPr="00562C78">
              <w:rPr>
                <w:rFonts w:asciiTheme="majorHAnsi" w:hAnsiTheme="majorHAnsi"/>
                <w:color w:val="363435"/>
                <w:spacing w:val="11"/>
              </w:rPr>
              <w:t xml:space="preserve"> </w:t>
            </w:r>
            <w:r w:rsidRPr="00562C78">
              <w:rPr>
                <w:rFonts w:asciiTheme="majorHAnsi" w:hAnsiTheme="majorHAnsi"/>
                <w:color w:val="363435"/>
              </w:rPr>
              <w:t>Students</w:t>
            </w:r>
            <w:r w:rsidRPr="00562C78">
              <w:rPr>
                <w:rFonts w:asciiTheme="majorHAnsi" w:hAnsiTheme="majorHAnsi"/>
                <w:color w:val="363435"/>
                <w:spacing w:val="50"/>
              </w:rPr>
              <w:t xml:space="preserve"> </w:t>
            </w:r>
            <w:r w:rsidRPr="00562C78">
              <w:rPr>
                <w:rFonts w:asciiTheme="majorHAnsi" w:hAnsiTheme="majorHAnsi"/>
                <w:color w:val="363435"/>
              </w:rPr>
              <w:t>find a partner</w:t>
            </w:r>
            <w:r w:rsidRPr="00562C78">
              <w:rPr>
                <w:rFonts w:asciiTheme="majorHAnsi" w:hAnsiTheme="majorHAnsi"/>
                <w:color w:val="363435"/>
                <w:spacing w:val="48"/>
              </w:rPr>
              <w:t xml:space="preserve"> </w:t>
            </w:r>
            <w:r w:rsidRPr="00562C78">
              <w:rPr>
                <w:rFonts w:asciiTheme="majorHAnsi" w:hAnsiTheme="majorHAnsi"/>
                <w:color w:val="363435"/>
              </w:rPr>
              <w:t>who has</w:t>
            </w:r>
            <w:r w:rsidRPr="00562C78">
              <w:rPr>
                <w:rFonts w:asciiTheme="majorHAnsi" w:hAnsiTheme="majorHAnsi"/>
                <w:color w:val="363435"/>
                <w:spacing w:val="13"/>
              </w:rPr>
              <w:t xml:space="preserve"> </w:t>
            </w:r>
            <w:r w:rsidRPr="00562C78">
              <w:rPr>
                <w:rFonts w:asciiTheme="majorHAnsi" w:hAnsiTheme="majorHAnsi"/>
                <w:color w:val="363435"/>
              </w:rPr>
              <w:t>a bag with</w:t>
            </w:r>
            <w:r w:rsidRPr="00562C78">
              <w:rPr>
                <w:rFonts w:asciiTheme="majorHAnsi" w:hAnsiTheme="majorHAnsi"/>
                <w:color w:val="363435"/>
                <w:spacing w:val="13"/>
              </w:rPr>
              <w:t xml:space="preserve"> </w:t>
            </w:r>
            <w:r w:rsidRPr="00562C78">
              <w:rPr>
                <w:rFonts w:asciiTheme="majorHAnsi" w:hAnsiTheme="majorHAnsi"/>
                <w:color w:val="363435"/>
              </w:rPr>
              <w:t>about</w:t>
            </w:r>
            <w:r w:rsidRPr="00562C78">
              <w:rPr>
                <w:rFonts w:asciiTheme="majorHAnsi" w:hAnsiTheme="majorHAnsi"/>
                <w:color w:val="363435"/>
                <w:spacing w:val="27"/>
              </w:rPr>
              <w:t xml:space="preserve"> </w:t>
            </w:r>
            <w:r w:rsidRPr="00562C78">
              <w:rPr>
                <w:rFonts w:asciiTheme="majorHAnsi" w:hAnsiTheme="majorHAnsi"/>
                <w:color w:val="363435"/>
              </w:rPr>
              <w:t>the</w:t>
            </w:r>
            <w:r w:rsidRPr="00562C78">
              <w:rPr>
                <w:rFonts w:asciiTheme="majorHAnsi" w:hAnsiTheme="majorHAnsi"/>
                <w:color w:val="363435"/>
                <w:spacing w:val="26"/>
              </w:rPr>
              <w:t xml:space="preserve"> </w:t>
            </w:r>
            <w:r w:rsidRPr="00562C78">
              <w:rPr>
                <w:rFonts w:asciiTheme="majorHAnsi" w:hAnsiTheme="majorHAnsi"/>
                <w:color w:val="363435"/>
              </w:rPr>
              <w:t>same</w:t>
            </w:r>
            <w:r w:rsidRPr="00562C78">
              <w:rPr>
                <w:rFonts w:asciiTheme="majorHAnsi" w:hAnsiTheme="majorHAnsi"/>
                <w:color w:val="363435"/>
                <w:spacing w:val="10"/>
              </w:rPr>
              <w:t xml:space="preserve"> </w:t>
            </w:r>
            <w:r w:rsidRPr="00562C78">
              <w:rPr>
                <w:rFonts w:asciiTheme="majorHAnsi" w:hAnsiTheme="majorHAnsi"/>
                <w:color w:val="363435"/>
              </w:rPr>
              <w:t>mass</w:t>
            </w:r>
            <w:r w:rsidRPr="00562C78">
              <w:rPr>
                <w:rFonts w:asciiTheme="majorHAnsi" w:hAnsiTheme="majorHAnsi"/>
                <w:color w:val="363435"/>
                <w:spacing w:val="10"/>
              </w:rPr>
              <w:t xml:space="preserve"> </w:t>
            </w:r>
            <w:r w:rsidRPr="00562C78">
              <w:rPr>
                <w:rFonts w:asciiTheme="majorHAnsi" w:hAnsiTheme="majorHAnsi"/>
                <w:color w:val="363435"/>
              </w:rPr>
              <w:t xml:space="preserve">as </w:t>
            </w:r>
            <w:r w:rsidRPr="00562C78">
              <w:rPr>
                <w:rFonts w:asciiTheme="majorHAnsi" w:hAnsiTheme="majorHAnsi"/>
                <w:color w:val="363435"/>
                <w:w w:val="106"/>
              </w:rPr>
              <w:t>theirs.</w:t>
            </w:r>
          </w:p>
          <w:p w:rsidR="00562C78" w:rsidRPr="00562C78" w:rsidRDefault="00562C78" w:rsidP="00562C78">
            <w:pPr>
              <w:rPr>
                <w:rFonts w:asciiTheme="majorHAnsi" w:hAnsiTheme="majorHAnsi"/>
              </w:rPr>
            </w:pPr>
          </w:p>
        </w:tc>
      </w:tr>
      <w:tr w:rsidR="00562C78" w:rsidRPr="004A4DA4" w:rsidTr="00562C78">
        <w:trPr>
          <w:trHeight w:val="3041"/>
        </w:trPr>
        <w:tc>
          <w:tcPr>
            <w:tcW w:w="3936" w:type="dxa"/>
            <w:vMerge/>
          </w:tcPr>
          <w:p w:rsidR="00562C78" w:rsidRPr="004A4DA4" w:rsidRDefault="00562C78" w:rsidP="00562C78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562C78" w:rsidRPr="004A4DA4" w:rsidRDefault="00562C78" w:rsidP="00562C78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:rsidR="00562C78" w:rsidRDefault="00562C78" w:rsidP="00562C78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</w:p>
          <w:p w:rsidR="00562C78" w:rsidRPr="004A4DA4" w:rsidRDefault="00562C78" w:rsidP="00562C78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S1</w:t>
            </w:r>
          </w:p>
        </w:tc>
        <w:tc>
          <w:tcPr>
            <w:tcW w:w="9639" w:type="dxa"/>
          </w:tcPr>
          <w:p w:rsidR="00562C78" w:rsidRPr="00562C78" w:rsidRDefault="00562C78" w:rsidP="00562C7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562C78">
              <w:rPr>
                <w:rFonts w:asciiTheme="majorHAnsi" w:hAnsiTheme="majorHAnsi"/>
                <w:b/>
              </w:rPr>
              <w:t>Equal Masses: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62C78">
              <w:rPr>
                <w:rFonts w:asciiTheme="majorHAnsi" w:hAnsiTheme="majorHAnsi"/>
              </w:rPr>
              <w:t xml:space="preserve">Choose an object. Students collect things from around the room that might combine to have the same mass as an object, </w:t>
            </w:r>
            <w:proofErr w:type="spellStart"/>
            <w:r w:rsidRPr="00562C78">
              <w:rPr>
                <w:rFonts w:asciiTheme="majorHAnsi" w:hAnsiTheme="majorHAnsi"/>
              </w:rPr>
              <w:t>eg</w:t>
            </w:r>
            <w:proofErr w:type="spellEnd"/>
            <w:r w:rsidRPr="00562C78">
              <w:rPr>
                <w:rFonts w:asciiTheme="majorHAnsi" w:hAnsiTheme="majorHAnsi"/>
              </w:rPr>
              <w:t>. The duster has the same mass as three pencils and four rubbers. Repeat activity many times, measuring the mass of different objects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 w:rsidRPr="00562C78">
              <w:rPr>
                <w:rFonts w:asciiTheme="majorHAnsi" w:hAnsiTheme="majorHAnsi"/>
                <w:b/>
              </w:rPr>
              <w:t>Choose the unit: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62C78">
              <w:rPr>
                <w:rFonts w:asciiTheme="majorHAnsi" w:hAnsiTheme="majorHAnsi"/>
              </w:rPr>
              <w:t xml:space="preserve">Provide a selection of materials suitable as informal units. Ask students to select the most appropriate unit to measure items such as a box of pencils, a stapler, </w:t>
            </w:r>
            <w:proofErr w:type="gramStart"/>
            <w:r w:rsidRPr="00562C78">
              <w:rPr>
                <w:rFonts w:asciiTheme="majorHAnsi" w:hAnsiTheme="majorHAnsi"/>
              </w:rPr>
              <w:t>tec</w:t>
            </w:r>
            <w:proofErr w:type="gramEnd"/>
            <w:r w:rsidRPr="00562C78">
              <w:rPr>
                <w:rFonts w:asciiTheme="majorHAnsi" w:hAnsiTheme="majorHAnsi"/>
              </w:rPr>
              <w:t>.</w:t>
            </w:r>
          </w:p>
          <w:p w:rsidR="00562C78" w:rsidRPr="00562C78" w:rsidRDefault="00562C78" w:rsidP="00562C78">
            <w:pPr>
              <w:rPr>
                <w:rFonts w:asciiTheme="majorHAnsi" w:hAnsiTheme="majorHAnsi"/>
              </w:rPr>
            </w:pPr>
          </w:p>
          <w:p w:rsidR="00562C78" w:rsidRPr="00562C78" w:rsidRDefault="00562C78" w:rsidP="00562C78">
            <w:pPr>
              <w:rPr>
                <w:rFonts w:asciiTheme="majorHAnsi" w:hAnsiTheme="majorHAnsi"/>
                <w:color w:val="FF0000"/>
              </w:rPr>
            </w:pP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color w:val="FF0000"/>
              </w:rPr>
            </w:pPr>
            <w:r w:rsidRPr="00562C78">
              <w:rPr>
                <w:rFonts w:asciiTheme="majorHAnsi" w:hAnsiTheme="majorHAnsi"/>
                <w:color w:val="FF0000"/>
              </w:rPr>
              <w:t>Assessment:</w:t>
            </w:r>
          </w:p>
          <w:p w:rsidR="00562C78" w:rsidRPr="00562C78" w:rsidRDefault="00562C78" w:rsidP="00562C78">
            <w:pPr>
              <w:rPr>
                <w:rFonts w:asciiTheme="majorHAnsi" w:hAnsiTheme="majorHAnsi"/>
                <w:color w:val="FF0000"/>
              </w:rPr>
            </w:pPr>
            <w:r w:rsidRPr="00562C78">
              <w:rPr>
                <w:rFonts w:asciiTheme="majorHAnsi" w:hAnsiTheme="majorHAnsi"/>
                <w:color w:val="FF0000"/>
              </w:rPr>
              <w:t xml:space="preserve">Ask students to choose an appropriate unit to measure a given object. </w:t>
            </w:r>
            <w:proofErr w:type="spellStart"/>
            <w:r w:rsidRPr="00562C78">
              <w:rPr>
                <w:rFonts w:asciiTheme="majorHAnsi" w:hAnsiTheme="majorHAnsi"/>
                <w:color w:val="FF0000"/>
              </w:rPr>
              <w:t>Eg</w:t>
            </w:r>
            <w:proofErr w:type="spellEnd"/>
            <w:r w:rsidRPr="00562C78">
              <w:rPr>
                <w:rFonts w:asciiTheme="majorHAnsi" w:hAnsiTheme="majorHAnsi"/>
                <w:color w:val="FF0000"/>
              </w:rPr>
              <w:t xml:space="preserve"> light units to measure light objects and heavier unit to measure heavy objects.</w:t>
            </w:r>
          </w:p>
          <w:p w:rsidR="00562C78" w:rsidRPr="00562C78" w:rsidRDefault="00562C78" w:rsidP="00562C78">
            <w:pPr>
              <w:rPr>
                <w:rFonts w:asciiTheme="majorHAnsi" w:hAnsiTheme="majorHAnsi"/>
                <w:color w:val="FF0000"/>
              </w:rPr>
            </w:pPr>
            <w:r w:rsidRPr="00562C78">
              <w:rPr>
                <w:rFonts w:asciiTheme="majorHAnsi" w:hAnsiTheme="majorHAnsi"/>
                <w:color w:val="FF0000"/>
              </w:rPr>
              <w:t>Students state what things they would choose to measure the mass of a book and why.</w:t>
            </w:r>
          </w:p>
          <w:p w:rsidR="00562C78" w:rsidRPr="00562C78" w:rsidRDefault="00562C78" w:rsidP="00562C78">
            <w:pPr>
              <w:rPr>
                <w:rFonts w:asciiTheme="majorHAnsi" w:hAnsiTheme="majorHAnsi"/>
              </w:rPr>
            </w:pPr>
          </w:p>
        </w:tc>
      </w:tr>
      <w:tr w:rsidR="00562C78" w:rsidRPr="004A4DA4" w:rsidTr="00562C78">
        <w:trPr>
          <w:trHeight w:val="2443"/>
        </w:trPr>
        <w:tc>
          <w:tcPr>
            <w:tcW w:w="3936" w:type="dxa"/>
            <w:vMerge/>
          </w:tcPr>
          <w:p w:rsidR="00562C78" w:rsidRPr="004A4DA4" w:rsidRDefault="00562C78" w:rsidP="00562C78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562C78" w:rsidRPr="004A4DA4" w:rsidRDefault="00562C78" w:rsidP="00562C78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:rsidR="00562C78" w:rsidRDefault="00562C78" w:rsidP="00562C78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:rsidR="00562C78" w:rsidRDefault="00562C78" w:rsidP="00562C78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4A4DA4">
              <w:rPr>
                <w:rFonts w:ascii="Calibri" w:hAnsi="Calibri"/>
                <w:b w:val="0"/>
                <w:szCs w:val="24"/>
              </w:rPr>
              <w:t xml:space="preserve">Extension </w:t>
            </w:r>
          </w:p>
          <w:p w:rsidR="00562C78" w:rsidRPr="004A4DA4" w:rsidRDefault="00562C78" w:rsidP="00562C78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Early S2</w:t>
            </w:r>
          </w:p>
        </w:tc>
        <w:tc>
          <w:tcPr>
            <w:tcW w:w="9639" w:type="dxa"/>
          </w:tcPr>
          <w:p w:rsidR="00562C78" w:rsidRPr="00562C78" w:rsidRDefault="00562C78" w:rsidP="00562C78">
            <w:pPr>
              <w:rPr>
                <w:rFonts w:asciiTheme="majorHAnsi" w:hAnsiTheme="majorHAnsi"/>
              </w:rPr>
            </w:pP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62C78">
              <w:rPr>
                <w:rFonts w:asciiTheme="majorHAnsi" w:hAnsiTheme="majorHAnsi"/>
              </w:rPr>
              <w:t>Finding the difference: Using a balance beam.</w:t>
            </w:r>
          </w:p>
          <w:p w:rsidR="00562C78" w:rsidRPr="00562C78" w:rsidRDefault="00562C78" w:rsidP="00562C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62C78">
              <w:rPr>
                <w:rFonts w:asciiTheme="majorHAnsi" w:hAnsiTheme="majorHAnsi"/>
              </w:rPr>
              <w:t xml:space="preserve">Students select different objects, </w:t>
            </w:r>
            <w:proofErr w:type="gramStart"/>
            <w:r w:rsidRPr="00562C78">
              <w:rPr>
                <w:rFonts w:asciiTheme="majorHAnsi" w:hAnsiTheme="majorHAnsi"/>
              </w:rPr>
              <w:t>using  the</w:t>
            </w:r>
            <w:proofErr w:type="gramEnd"/>
            <w:r w:rsidRPr="00562C78">
              <w:rPr>
                <w:rFonts w:asciiTheme="majorHAnsi" w:hAnsiTheme="majorHAnsi"/>
              </w:rPr>
              <w:t xml:space="preserve"> same measuring unit </w:t>
            </w:r>
            <w:proofErr w:type="spellStart"/>
            <w:r w:rsidRPr="00562C78">
              <w:rPr>
                <w:rFonts w:asciiTheme="majorHAnsi" w:hAnsiTheme="majorHAnsi"/>
              </w:rPr>
              <w:t>eg</w:t>
            </w:r>
            <w:proofErr w:type="spellEnd"/>
            <w:r w:rsidRPr="00562C78">
              <w:rPr>
                <w:rFonts w:asciiTheme="majorHAnsi" w:hAnsiTheme="majorHAnsi"/>
              </w:rPr>
              <w:t xml:space="preserve"> connecting blocks</w:t>
            </w:r>
          </w:p>
          <w:p w:rsidR="00562C78" w:rsidRPr="00562C78" w:rsidRDefault="00562C78" w:rsidP="00562C78">
            <w:pPr>
              <w:pStyle w:val="ListParagraph"/>
              <w:rPr>
                <w:rFonts w:asciiTheme="majorHAnsi" w:hAnsiTheme="majorHAnsi"/>
              </w:rPr>
            </w:pPr>
            <w:r w:rsidRPr="00562C78">
              <w:rPr>
                <w:rFonts w:asciiTheme="majorHAnsi" w:hAnsiTheme="majorHAnsi"/>
              </w:rPr>
              <w:t>Students find the difference between two objects and record their finding. It takes 10 blocks to make the scissors and glue stick weigh the same”</w:t>
            </w:r>
          </w:p>
        </w:tc>
      </w:tr>
      <w:tr w:rsidR="00562C78" w:rsidRPr="004A4DA4" w:rsidTr="00562C78">
        <w:trPr>
          <w:trHeight w:val="1079"/>
        </w:trPr>
        <w:tc>
          <w:tcPr>
            <w:tcW w:w="3936" w:type="dxa"/>
            <w:vMerge/>
            <w:shd w:val="clear" w:color="auto" w:fill="C2D69B"/>
          </w:tcPr>
          <w:p w:rsidR="00562C78" w:rsidRPr="004A4DA4" w:rsidRDefault="00562C78" w:rsidP="00562C78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562C78" w:rsidRPr="004A4DA4" w:rsidRDefault="00562C78" w:rsidP="00562C78">
            <w:pPr>
              <w:rPr>
                <w:rFonts w:ascii="Calibri" w:hAnsi="Calibri"/>
                <w:sz w:val="24"/>
                <w:szCs w:val="24"/>
              </w:rPr>
            </w:pP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</w:tcPr>
          <w:p w:rsidR="00562C78" w:rsidRPr="00177337" w:rsidRDefault="00562C78" w:rsidP="00562C7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177337">
              <w:rPr>
                <w:rFonts w:asciiTheme="minorHAnsi" w:hAnsiTheme="minorHAnsi"/>
                <w:b/>
                <w:sz w:val="24"/>
                <w:szCs w:val="24"/>
              </w:rPr>
              <w:t>Student Engagement</w:t>
            </w:r>
            <w:proofErr w:type="gramStart"/>
            <w:r w:rsidRPr="00177337">
              <w:rPr>
                <w:rFonts w:asciiTheme="minorHAnsi" w:hAnsiTheme="minorHAnsi"/>
                <w:b/>
                <w:sz w:val="24"/>
                <w:szCs w:val="24"/>
              </w:rPr>
              <w:t>:                                    Achievement</w:t>
            </w:r>
            <w:proofErr w:type="gramEnd"/>
            <w:r w:rsidRPr="00177337">
              <w:rPr>
                <w:rFonts w:asciiTheme="minorHAnsi" w:hAnsiTheme="minorHAnsi"/>
                <w:b/>
                <w:sz w:val="24"/>
                <w:szCs w:val="24"/>
              </w:rPr>
              <w:t xml:space="preserve"> of Outcomes:</w:t>
            </w:r>
          </w:p>
          <w:p w:rsidR="00562C78" w:rsidRPr="00177337" w:rsidRDefault="00562C78" w:rsidP="00562C7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62C78" w:rsidRDefault="00562C78" w:rsidP="00562C7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62C78" w:rsidRPr="00B24FB1" w:rsidRDefault="00562C78" w:rsidP="00562C78">
            <w:pPr>
              <w:rPr>
                <w:rFonts w:ascii="Calibri" w:hAnsi="Calibri"/>
                <w:sz w:val="24"/>
                <w:szCs w:val="24"/>
              </w:rPr>
            </w:pPr>
            <w:r w:rsidRPr="00177337">
              <w:rPr>
                <w:rFonts w:asciiTheme="minorHAnsi" w:hAnsiTheme="minorHAnsi"/>
                <w:b/>
                <w:sz w:val="24"/>
                <w:szCs w:val="24"/>
              </w:rPr>
              <w:t>Resources:                                                        Follow Up: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</w:p>
          <w:p w:rsidR="00562C78" w:rsidRPr="004A4DA4" w:rsidRDefault="00562C78" w:rsidP="00562C7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10FC8" w:rsidRDefault="00B10FC8"/>
    <w:sectPr w:rsidR="00B10FC8" w:rsidSect="00562C78">
      <w:pgSz w:w="16840" w:h="11900" w:orient="landscape"/>
      <w:pgMar w:top="701" w:right="680" w:bottom="567" w:left="709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72"/>
    <w:multiLevelType w:val="hybridMultilevel"/>
    <w:tmpl w:val="74E4DCE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7481"/>
    <w:multiLevelType w:val="hybridMultilevel"/>
    <w:tmpl w:val="73AAB89C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2226"/>
    <w:multiLevelType w:val="hybridMultilevel"/>
    <w:tmpl w:val="657EF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16C8D"/>
    <w:multiLevelType w:val="hybridMultilevel"/>
    <w:tmpl w:val="6E566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A0F34"/>
    <w:multiLevelType w:val="hybridMultilevel"/>
    <w:tmpl w:val="F3CA2972"/>
    <w:lvl w:ilvl="0" w:tplc="8FD434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2663B4"/>
    <w:multiLevelType w:val="hybridMultilevel"/>
    <w:tmpl w:val="634CBEC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A3C48"/>
    <w:multiLevelType w:val="hybridMultilevel"/>
    <w:tmpl w:val="C35E67F8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39250BEC"/>
    <w:multiLevelType w:val="hybridMultilevel"/>
    <w:tmpl w:val="24541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B2DCB"/>
    <w:multiLevelType w:val="hybridMultilevel"/>
    <w:tmpl w:val="DE9CA9A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816D6"/>
    <w:multiLevelType w:val="hybridMultilevel"/>
    <w:tmpl w:val="7584A5B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2640C"/>
    <w:multiLevelType w:val="hybridMultilevel"/>
    <w:tmpl w:val="D902C7D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E7E24"/>
    <w:multiLevelType w:val="hybridMultilevel"/>
    <w:tmpl w:val="6A04A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7F54BED"/>
    <w:multiLevelType w:val="hybridMultilevel"/>
    <w:tmpl w:val="F0967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A7D47"/>
    <w:multiLevelType w:val="hybridMultilevel"/>
    <w:tmpl w:val="D206CEA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14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78"/>
    <w:rsid w:val="002C2740"/>
    <w:rsid w:val="00562C78"/>
    <w:rsid w:val="00B10FC8"/>
    <w:rsid w:val="00D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A9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78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C78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62C78"/>
    <w:rPr>
      <w:rFonts w:ascii="Helvetica" w:eastAsia="Calibri" w:hAnsi="Helvetica" w:cs="Times New Roman"/>
      <w:b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62C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2C78"/>
    <w:rPr>
      <w:rFonts w:cs="Times New Roman"/>
    </w:rPr>
  </w:style>
  <w:style w:type="character" w:styleId="Strong">
    <w:name w:val="Strong"/>
    <w:basedOn w:val="DefaultParagraphFont"/>
    <w:uiPriority w:val="22"/>
    <w:qFormat/>
    <w:rsid w:val="00562C7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78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C78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62C78"/>
    <w:rPr>
      <w:rFonts w:ascii="Helvetica" w:eastAsia="Calibri" w:hAnsi="Helvetica" w:cs="Times New Roman"/>
      <w:b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62C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2C78"/>
    <w:rPr>
      <w:rFonts w:cs="Times New Roman"/>
    </w:rPr>
  </w:style>
  <w:style w:type="character" w:styleId="Strong">
    <w:name w:val="Strong"/>
    <w:basedOn w:val="DefaultParagraphFont"/>
    <w:uiPriority w:val="22"/>
    <w:qFormat/>
    <w:rsid w:val="00562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2981</Characters>
  <Application>Microsoft Macintosh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</cp:revision>
  <dcterms:created xsi:type="dcterms:W3CDTF">2014-12-11T02:09:00Z</dcterms:created>
  <dcterms:modified xsi:type="dcterms:W3CDTF">2014-12-11T02:22:00Z</dcterms:modified>
</cp:coreProperties>
</file>