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1D0166" w:rsidRDefault="00D41A1D" w:rsidP="00CA13F7">
            <w:pPr>
              <w:pStyle w:val="Heading2"/>
              <w:rPr>
                <w:rFonts w:asciiTheme="minorHAnsi" w:hAnsiTheme="minorHAnsi"/>
                <w:szCs w:val="24"/>
              </w:rPr>
            </w:pPr>
            <w:r w:rsidRPr="001D0166">
              <w:rPr>
                <w:rFonts w:asciiTheme="minorHAnsi" w:hAnsiTheme="minorHAnsi"/>
                <w:szCs w:val="24"/>
              </w:rPr>
              <w:t>TERM:</w:t>
            </w:r>
            <w:r w:rsidR="00CB39EB" w:rsidRPr="001D0166">
              <w:rPr>
                <w:rFonts w:asciiTheme="minorHAnsi" w:hAnsiTheme="minorHAnsi"/>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F13515A" w:rsidR="00D41A1D" w:rsidRPr="001D0166" w:rsidRDefault="00D41A1D" w:rsidP="00CA13F7">
            <w:pPr>
              <w:pStyle w:val="Heading2"/>
              <w:rPr>
                <w:rFonts w:asciiTheme="minorHAnsi" w:hAnsiTheme="minorHAnsi"/>
                <w:szCs w:val="24"/>
              </w:rPr>
            </w:pPr>
            <w:r w:rsidRPr="001D0166">
              <w:rPr>
                <w:rFonts w:asciiTheme="minorHAnsi" w:hAnsiTheme="minorHAnsi"/>
                <w:szCs w:val="24"/>
              </w:rPr>
              <w:t>WEEK:</w:t>
            </w:r>
            <w:r w:rsidR="00CB39EB" w:rsidRPr="001D0166">
              <w:rPr>
                <w:rFonts w:asciiTheme="minorHAnsi" w:hAnsiTheme="minorHAnsi"/>
                <w:szCs w:val="24"/>
              </w:rPr>
              <w:t xml:space="preserve"> </w:t>
            </w:r>
            <w:r w:rsidR="001D0166">
              <w:rPr>
                <w:rFonts w:asciiTheme="minorHAnsi" w:hAnsiTheme="minorHAnsi"/>
                <w:szCs w:val="24"/>
              </w:rPr>
              <w:t>5</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4F145B1" w:rsidR="00D41A1D" w:rsidRPr="001D0166" w:rsidRDefault="00D41A1D" w:rsidP="00CA13F7">
            <w:pPr>
              <w:pStyle w:val="Heading2"/>
              <w:rPr>
                <w:rFonts w:asciiTheme="minorHAnsi" w:hAnsiTheme="minorHAnsi"/>
                <w:szCs w:val="24"/>
              </w:rPr>
            </w:pPr>
            <w:r w:rsidRPr="001D0166">
              <w:rPr>
                <w:rFonts w:asciiTheme="minorHAnsi" w:hAnsiTheme="minorHAnsi"/>
                <w:szCs w:val="24"/>
              </w:rPr>
              <w:t>STRAND:</w:t>
            </w:r>
            <w:r w:rsidR="00CB39EB" w:rsidRPr="001D0166">
              <w:rPr>
                <w:rFonts w:asciiTheme="minorHAnsi" w:hAnsiTheme="minorHAnsi"/>
                <w:szCs w:val="24"/>
              </w:rPr>
              <w:t xml:space="preserve"> </w:t>
            </w:r>
            <w:r w:rsidRPr="001D0166">
              <w:rPr>
                <w:rFonts w:asciiTheme="minorHAnsi" w:hAnsiTheme="minorHAnsi"/>
                <w:szCs w:val="24"/>
              </w:rPr>
              <w:t xml:space="preserve"> </w:t>
            </w:r>
            <w:r w:rsidR="00680818" w:rsidRPr="001D0166">
              <w:rPr>
                <w:rFonts w:asciiTheme="minorHAnsi" w:hAnsiTheme="minorHAnsi"/>
                <w:szCs w:val="24"/>
              </w:rPr>
              <w:t>Measurement and Geometry</w:t>
            </w:r>
          </w:p>
          <w:p w14:paraId="5D459EBB" w14:textId="6FF685B9" w:rsidR="00D41A1D" w:rsidRPr="001D0166"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88FB9DE" w:rsidR="00D41A1D" w:rsidRPr="001D0166" w:rsidRDefault="00D41A1D" w:rsidP="004A4DA4">
            <w:pPr>
              <w:rPr>
                <w:rFonts w:asciiTheme="minorHAnsi" w:hAnsiTheme="minorHAnsi"/>
                <w:b/>
                <w:sz w:val="24"/>
                <w:szCs w:val="24"/>
              </w:rPr>
            </w:pPr>
            <w:r w:rsidRPr="001D0166">
              <w:rPr>
                <w:rFonts w:asciiTheme="minorHAnsi" w:eastAsia="Times" w:hAnsiTheme="minorHAnsi"/>
                <w:b/>
                <w:sz w:val="24"/>
                <w:szCs w:val="24"/>
                <w:lang w:eastAsia="en-AU"/>
              </w:rPr>
              <w:t>SUB-STRAND:</w:t>
            </w:r>
            <w:r w:rsidR="00CB39EB" w:rsidRPr="001D0166">
              <w:rPr>
                <w:rFonts w:asciiTheme="minorHAnsi" w:eastAsia="Times" w:hAnsiTheme="minorHAnsi"/>
                <w:b/>
                <w:sz w:val="24"/>
                <w:szCs w:val="24"/>
                <w:lang w:eastAsia="en-AU"/>
              </w:rPr>
              <w:t xml:space="preserve"> </w:t>
            </w:r>
            <w:r w:rsidR="00680818" w:rsidRPr="001D0166">
              <w:rPr>
                <w:rFonts w:asciiTheme="minorHAnsi" w:eastAsia="Times" w:hAnsiTheme="minorHAnsi"/>
                <w:b/>
                <w:sz w:val="24"/>
                <w:szCs w:val="24"/>
                <w:lang w:eastAsia="en-AU"/>
              </w:rPr>
              <w:t xml:space="preserve"> Volume and Capacity</w:t>
            </w:r>
            <w:r w:rsidR="00E76FF0" w:rsidRPr="001D0166">
              <w:rPr>
                <w:rFonts w:asciiTheme="minorHAnsi" w:eastAsia="Times" w:hAnsiTheme="minorHAnsi"/>
                <w:b/>
                <w:sz w:val="24"/>
                <w:szCs w:val="24"/>
                <w:lang w:eastAsia="en-AU"/>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AD958A" w14:textId="77777777" w:rsidR="00D41A1D" w:rsidRPr="001D0166" w:rsidRDefault="00D41A1D" w:rsidP="004A4DA4">
            <w:pPr>
              <w:rPr>
                <w:rFonts w:asciiTheme="minorHAnsi" w:hAnsiTheme="minorHAnsi"/>
                <w:b/>
                <w:sz w:val="24"/>
                <w:szCs w:val="24"/>
              </w:rPr>
            </w:pPr>
            <w:r w:rsidRPr="001D0166">
              <w:rPr>
                <w:rFonts w:asciiTheme="minorHAnsi" w:hAnsiTheme="minorHAnsi"/>
                <w:b/>
                <w:sz w:val="24"/>
                <w:szCs w:val="24"/>
              </w:rPr>
              <w:t>WORKING MATHEMATICALLY:</w:t>
            </w:r>
            <w:r w:rsidR="00CB39EB" w:rsidRPr="001D0166">
              <w:rPr>
                <w:rFonts w:asciiTheme="minorHAnsi" w:hAnsiTheme="minorHAnsi"/>
                <w:b/>
                <w:sz w:val="24"/>
                <w:szCs w:val="24"/>
              </w:rPr>
              <w:t xml:space="preserve"> </w:t>
            </w:r>
            <w:r w:rsidR="00680818" w:rsidRPr="001D0166">
              <w:rPr>
                <w:rFonts w:asciiTheme="minorHAnsi" w:hAnsiTheme="minorHAnsi"/>
                <w:b/>
                <w:sz w:val="24"/>
                <w:szCs w:val="24"/>
              </w:rPr>
              <w:t xml:space="preserve"> </w:t>
            </w:r>
          </w:p>
          <w:p w14:paraId="0E4704C7" w14:textId="255D594C" w:rsidR="00680818" w:rsidRPr="001D0166" w:rsidRDefault="00680818" w:rsidP="004A4DA4">
            <w:pPr>
              <w:rPr>
                <w:rFonts w:asciiTheme="minorHAnsi" w:hAnsiTheme="minorHAnsi"/>
                <w:b/>
                <w:sz w:val="24"/>
                <w:szCs w:val="24"/>
              </w:rPr>
            </w:pPr>
            <w:r w:rsidRPr="001D0166">
              <w:rPr>
                <w:rFonts w:asciiTheme="minorHAnsi" w:hAnsiTheme="minorHAnsi"/>
                <w:b/>
                <w:sz w:val="24"/>
                <w:szCs w:val="24"/>
              </w:rPr>
              <w:t>MA2 – 1WM</w:t>
            </w:r>
          </w:p>
        </w:tc>
      </w:tr>
      <w:tr w:rsidR="00CA13F7" w:rsidRPr="004A4DA4" w14:paraId="2E3192F3" w14:textId="77777777" w:rsidTr="00C309AF">
        <w:trPr>
          <w:trHeight w:hRule="exact" w:val="434"/>
        </w:trPr>
        <w:tc>
          <w:tcPr>
            <w:tcW w:w="3085" w:type="dxa"/>
            <w:gridSpan w:val="2"/>
            <w:tcBorders>
              <w:right w:val="single" w:sz="4" w:space="0" w:color="auto"/>
            </w:tcBorders>
            <w:shd w:val="clear" w:color="auto" w:fill="FFFFCC"/>
          </w:tcPr>
          <w:p w14:paraId="6CB8F9FA" w14:textId="31E1033D"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680818">
              <w:rPr>
                <w:rFonts w:asciiTheme="minorHAnsi" w:hAnsiTheme="minorHAnsi"/>
                <w:szCs w:val="24"/>
              </w:rPr>
              <w:t xml:space="preserve"> MA2 – 11MG</w:t>
            </w:r>
          </w:p>
        </w:tc>
        <w:tc>
          <w:tcPr>
            <w:tcW w:w="4253" w:type="dxa"/>
            <w:gridSpan w:val="3"/>
            <w:shd w:val="clear" w:color="auto" w:fill="auto"/>
          </w:tcPr>
          <w:p w14:paraId="0F5AEC8D" w14:textId="64B812C1" w:rsidR="00CA13F7" w:rsidRPr="004A4DA4" w:rsidRDefault="00680818" w:rsidP="00CB39EB">
            <w:pPr>
              <w:rPr>
                <w:rFonts w:asciiTheme="minorHAnsi" w:hAnsiTheme="minorHAnsi"/>
                <w:b/>
                <w:sz w:val="24"/>
                <w:szCs w:val="24"/>
              </w:rPr>
            </w:pPr>
            <w:proofErr w:type="gramStart"/>
            <w:r>
              <w:rPr>
                <w:rFonts w:asciiTheme="minorHAnsi" w:hAnsiTheme="minorHAnsi"/>
                <w:b/>
                <w:sz w:val="24"/>
                <w:szCs w:val="24"/>
              </w:rPr>
              <w:t>Measures, records, compares</w:t>
            </w:r>
            <w:proofErr w:type="gramEnd"/>
            <w:r>
              <w:rPr>
                <w:rFonts w:asciiTheme="minorHAnsi" w:hAnsiTheme="minorHAnsi"/>
                <w:b/>
                <w:sz w:val="24"/>
                <w:szCs w:val="24"/>
              </w:rPr>
              <w:t xml:space="preserve"> and estimates volumes and capacities using litres, millilitres and cubic centimetres.</w:t>
            </w:r>
          </w:p>
        </w:tc>
      </w:tr>
      <w:tr w:rsidR="00CA13F7" w:rsidRPr="004A4DA4" w14:paraId="2B1E5F1E" w14:textId="77777777" w:rsidTr="00E038C2">
        <w:trPr>
          <w:trHeight w:hRule="exact" w:val="1972"/>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9C22970" w14:textId="77777777" w:rsidR="009852C6" w:rsidRPr="00FF6D7E" w:rsidRDefault="009852C6" w:rsidP="00FF6D7E">
            <w:pPr>
              <w:shd w:val="clear" w:color="auto" w:fill="FFFFFF"/>
              <w:spacing w:after="150"/>
              <w:contextualSpacing/>
              <w:rPr>
                <w:rFonts w:asciiTheme="minorHAnsi" w:hAnsiTheme="minorHAnsi"/>
                <w:b/>
                <w:sz w:val="24"/>
                <w:szCs w:val="24"/>
              </w:rPr>
            </w:pPr>
            <w:r w:rsidRPr="00FF6D7E">
              <w:rPr>
                <w:rFonts w:asciiTheme="minorHAnsi" w:hAnsiTheme="minorHAnsi"/>
                <w:b/>
                <w:sz w:val="24"/>
                <w:szCs w:val="24"/>
              </w:rPr>
              <w:t>Use scaled instruments to measure and compare</w:t>
            </w:r>
            <w:r w:rsidRPr="00FF6D7E">
              <w:rPr>
                <w:rStyle w:val="apple-converted-space"/>
                <w:rFonts w:asciiTheme="minorHAnsi" w:hAnsiTheme="minorHAnsi"/>
                <w:b/>
                <w:sz w:val="24"/>
                <w:szCs w:val="24"/>
              </w:rPr>
              <w:t> </w:t>
            </w:r>
            <w:r w:rsidR="00C309AF" w:rsidRPr="00FF6D7E">
              <w:fldChar w:fldCharType="begin"/>
            </w:r>
            <w:r w:rsidR="00C309AF" w:rsidRPr="00FF6D7E">
              <w:rPr>
                <w:rFonts w:asciiTheme="minorHAnsi" w:hAnsiTheme="minorHAnsi"/>
                <w:b/>
                <w:color w:val="3366FF"/>
                <w:sz w:val="24"/>
                <w:szCs w:val="24"/>
              </w:rPr>
              <w:instrText xml:space="preserve"> HYPERLINK "http://syllabus.bos.nsw.edu.au/glossary/mat/capacity/?ajax" \t "_blank" \o "Click for more information about 'capacities'" </w:instrText>
            </w:r>
            <w:r w:rsidR="00C309AF" w:rsidRPr="00FF6D7E">
              <w:fldChar w:fldCharType="separate"/>
            </w:r>
            <w:r w:rsidRPr="00FF6D7E">
              <w:rPr>
                <w:rStyle w:val="Hyperlink"/>
                <w:rFonts w:asciiTheme="minorHAnsi" w:hAnsiTheme="minorHAnsi"/>
                <w:b/>
                <w:color w:val="3366FF"/>
                <w:sz w:val="24"/>
                <w:szCs w:val="24"/>
              </w:rPr>
              <w:t>capacities</w:t>
            </w:r>
            <w:r w:rsidR="00C309AF" w:rsidRPr="00FF6D7E">
              <w:rPr>
                <w:rStyle w:val="Hyperlink"/>
                <w:rFonts w:asciiTheme="minorHAnsi" w:hAnsiTheme="minorHAnsi"/>
                <w:b/>
                <w:color w:val="3366FF"/>
                <w:sz w:val="24"/>
                <w:szCs w:val="24"/>
              </w:rPr>
              <w:fldChar w:fldCharType="end"/>
            </w:r>
            <w:r w:rsidRPr="00FF6D7E">
              <w:rPr>
                <w:rStyle w:val="apple-converted-space"/>
                <w:rFonts w:asciiTheme="minorHAnsi" w:hAnsiTheme="minorHAnsi"/>
                <w:b/>
                <w:color w:val="3366FF"/>
                <w:sz w:val="24"/>
                <w:szCs w:val="24"/>
              </w:rPr>
              <w:t> </w:t>
            </w:r>
            <w:r w:rsidRPr="00FF6D7E">
              <w:rPr>
                <w:rStyle w:val="ref"/>
                <w:rFonts w:asciiTheme="minorHAnsi" w:hAnsiTheme="minorHAnsi"/>
                <w:b/>
                <w:sz w:val="24"/>
                <w:szCs w:val="24"/>
              </w:rPr>
              <w:t>(ACMMG084)</w:t>
            </w:r>
          </w:p>
          <w:p w14:paraId="68BC7026" w14:textId="07D4436A" w:rsidR="009852C6" w:rsidRPr="00FF6D7E" w:rsidRDefault="008F5C45" w:rsidP="00FF6D7E">
            <w:pPr>
              <w:numPr>
                <w:ilvl w:val="0"/>
                <w:numId w:val="37"/>
              </w:numPr>
              <w:shd w:val="clear" w:color="auto" w:fill="FFFFFF"/>
              <w:spacing w:after="75"/>
              <w:ind w:left="360"/>
              <w:contextualSpacing/>
              <w:rPr>
                <w:rFonts w:asciiTheme="minorHAnsi" w:hAnsiTheme="minorHAnsi"/>
                <w:color w:val="000000"/>
                <w:sz w:val="24"/>
                <w:szCs w:val="24"/>
              </w:rPr>
            </w:pPr>
            <w:r w:rsidRPr="00FF6D7E">
              <w:rPr>
                <w:rFonts w:asciiTheme="minorHAnsi" w:hAnsiTheme="minorHAnsi"/>
                <w:color w:val="000000"/>
                <w:sz w:val="24"/>
                <w:szCs w:val="24"/>
              </w:rPr>
              <w:t>R</w:t>
            </w:r>
            <w:r w:rsidR="009852C6" w:rsidRPr="00FF6D7E">
              <w:rPr>
                <w:rFonts w:asciiTheme="minorHAnsi" w:hAnsiTheme="minorHAnsi"/>
                <w:color w:val="000000"/>
                <w:sz w:val="24"/>
                <w:szCs w:val="24"/>
              </w:rPr>
              <w:t>ecognise the need for a formal unit smaller than the litre to measure </w:t>
            </w:r>
            <w:r w:rsidR="00C309AF" w:rsidRPr="00FF6D7E">
              <w:fldChar w:fldCharType="begin"/>
            </w:r>
            <w:r w:rsidR="00C309AF" w:rsidRPr="00FF6D7E">
              <w:rPr>
                <w:rFonts w:asciiTheme="minorHAnsi" w:hAnsiTheme="minorHAnsi"/>
                <w:sz w:val="24"/>
                <w:szCs w:val="24"/>
              </w:rPr>
              <w:instrText xml:space="preserve"> HYPERLINK "http://syllabus.bos.nsw.edu.au/glossary/mat/volume/?ajax" \t "_blank" \o "Click for more information about 'volume'" </w:instrText>
            </w:r>
            <w:r w:rsidR="00C309AF" w:rsidRPr="00FF6D7E">
              <w:fldChar w:fldCharType="separate"/>
            </w:r>
            <w:r w:rsidR="009852C6" w:rsidRPr="00FF6D7E">
              <w:rPr>
                <w:rStyle w:val="Hyperlink"/>
                <w:rFonts w:asciiTheme="minorHAnsi" w:hAnsiTheme="minorHAnsi"/>
                <w:sz w:val="24"/>
                <w:szCs w:val="24"/>
              </w:rPr>
              <w:t>volume</w:t>
            </w:r>
            <w:r w:rsidR="00C309AF" w:rsidRPr="00FF6D7E">
              <w:rPr>
                <w:rStyle w:val="Hyperlink"/>
                <w:rFonts w:asciiTheme="minorHAnsi" w:hAnsiTheme="minorHAnsi"/>
                <w:sz w:val="24"/>
                <w:szCs w:val="24"/>
              </w:rPr>
              <w:fldChar w:fldCharType="end"/>
            </w:r>
            <w:r w:rsidR="009852C6" w:rsidRPr="00FF6D7E">
              <w:rPr>
                <w:rStyle w:val="apple-converted-space"/>
                <w:rFonts w:asciiTheme="minorHAnsi" w:hAnsiTheme="minorHAnsi"/>
                <w:color w:val="000000"/>
                <w:sz w:val="24"/>
                <w:szCs w:val="24"/>
              </w:rPr>
              <w:t> </w:t>
            </w:r>
            <w:r w:rsidR="009852C6" w:rsidRPr="00FF6D7E">
              <w:rPr>
                <w:rFonts w:asciiTheme="minorHAnsi" w:hAnsiTheme="minorHAnsi"/>
                <w:color w:val="000000"/>
                <w:sz w:val="24"/>
                <w:szCs w:val="24"/>
              </w:rPr>
              <w:t>and capacity</w:t>
            </w:r>
          </w:p>
          <w:p w14:paraId="20274011" w14:textId="0B14853E" w:rsidR="009852C6" w:rsidRPr="00FF6D7E" w:rsidRDefault="008F5C45" w:rsidP="00FF6D7E">
            <w:pPr>
              <w:numPr>
                <w:ilvl w:val="0"/>
                <w:numId w:val="37"/>
              </w:numPr>
              <w:shd w:val="clear" w:color="auto" w:fill="FFFFFF"/>
              <w:spacing w:after="75"/>
              <w:ind w:left="360"/>
              <w:contextualSpacing/>
              <w:rPr>
                <w:rFonts w:asciiTheme="minorHAnsi" w:hAnsiTheme="minorHAnsi"/>
                <w:color w:val="000000"/>
                <w:sz w:val="24"/>
                <w:szCs w:val="24"/>
              </w:rPr>
            </w:pPr>
            <w:r w:rsidRPr="00FF6D7E">
              <w:rPr>
                <w:rFonts w:asciiTheme="minorHAnsi" w:hAnsiTheme="minorHAnsi"/>
                <w:color w:val="000000"/>
                <w:sz w:val="24"/>
                <w:szCs w:val="24"/>
              </w:rPr>
              <w:t>R</w:t>
            </w:r>
            <w:r w:rsidR="009852C6" w:rsidRPr="00FF6D7E">
              <w:rPr>
                <w:rFonts w:asciiTheme="minorHAnsi" w:hAnsiTheme="minorHAnsi"/>
                <w:color w:val="000000"/>
                <w:sz w:val="24"/>
                <w:szCs w:val="24"/>
              </w:rPr>
              <w:t>ecognise that there are 1000 millilitres in one litre,</w:t>
            </w:r>
            <w:r w:rsidR="009852C6" w:rsidRPr="00FF6D7E">
              <w:rPr>
                <w:rStyle w:val="apple-converted-space"/>
                <w:rFonts w:asciiTheme="minorHAnsi" w:hAnsiTheme="minorHAnsi"/>
                <w:color w:val="000000"/>
                <w:sz w:val="24"/>
                <w:szCs w:val="24"/>
              </w:rPr>
              <w:t> </w:t>
            </w:r>
            <w:r w:rsidR="009852C6" w:rsidRPr="00FF6D7E">
              <w:rPr>
                <w:rStyle w:val="nowrap"/>
                <w:rFonts w:asciiTheme="minorHAnsi" w:hAnsiTheme="minorHAnsi"/>
                <w:color w:val="000000"/>
                <w:sz w:val="24"/>
                <w:szCs w:val="24"/>
              </w:rPr>
              <w:t>ie 1000 millilitres = 1 litre</w:t>
            </w:r>
          </w:p>
          <w:p w14:paraId="1CD192FC" w14:textId="4964CC2C" w:rsidR="009852C6" w:rsidRPr="00FF6D7E" w:rsidRDefault="008F5C45" w:rsidP="00FF6D7E">
            <w:pPr>
              <w:numPr>
                <w:ilvl w:val="0"/>
                <w:numId w:val="37"/>
              </w:numPr>
              <w:shd w:val="clear" w:color="auto" w:fill="FFFFFF"/>
              <w:spacing w:after="75"/>
              <w:ind w:left="360"/>
              <w:contextualSpacing/>
              <w:rPr>
                <w:rFonts w:asciiTheme="minorHAnsi" w:hAnsiTheme="minorHAnsi"/>
                <w:color w:val="000000"/>
                <w:sz w:val="24"/>
                <w:szCs w:val="24"/>
              </w:rPr>
            </w:pPr>
            <w:r w:rsidRPr="00FF6D7E">
              <w:rPr>
                <w:rFonts w:asciiTheme="minorHAnsi" w:hAnsiTheme="minorHAnsi"/>
                <w:color w:val="000000"/>
                <w:sz w:val="24"/>
                <w:szCs w:val="24"/>
              </w:rPr>
              <w:t>R</w:t>
            </w:r>
            <w:r w:rsidR="009852C6" w:rsidRPr="00FF6D7E">
              <w:rPr>
                <w:rFonts w:asciiTheme="minorHAnsi" w:hAnsiTheme="minorHAnsi"/>
                <w:color w:val="000000"/>
                <w:sz w:val="24"/>
                <w:szCs w:val="24"/>
              </w:rPr>
              <w:t>elate the millilitre to familiar everyday containers and familiar</w:t>
            </w:r>
            <w:r w:rsidR="009852C6" w:rsidRPr="00FF6D7E">
              <w:rPr>
                <w:rStyle w:val="apple-converted-space"/>
                <w:rFonts w:asciiTheme="minorHAnsi" w:hAnsiTheme="minorHAnsi"/>
                <w:color w:val="000000"/>
                <w:sz w:val="24"/>
                <w:szCs w:val="24"/>
              </w:rPr>
              <w:t> </w:t>
            </w:r>
            <w:r w:rsidR="00C309AF" w:rsidRPr="00FF6D7E">
              <w:fldChar w:fldCharType="begin"/>
            </w:r>
            <w:r w:rsidR="00C309AF" w:rsidRPr="00FF6D7E">
              <w:rPr>
                <w:rFonts w:asciiTheme="minorHAnsi" w:hAnsiTheme="minorHAnsi"/>
                <w:sz w:val="24"/>
                <w:szCs w:val="24"/>
              </w:rPr>
              <w:instrText xml:space="preserve"> HYPERLINK "http://syllabus.bos.nsw.edu.au/glossary/mat/informal-unit/?ajax" \t "_blank" \o "Click for more information about 'informal units'" </w:instrText>
            </w:r>
            <w:r w:rsidR="00C309AF" w:rsidRPr="00FF6D7E">
              <w:fldChar w:fldCharType="separate"/>
            </w:r>
            <w:r w:rsidR="009852C6" w:rsidRPr="00FF6D7E">
              <w:rPr>
                <w:rStyle w:val="Hyperlink"/>
                <w:rFonts w:asciiTheme="minorHAnsi" w:hAnsiTheme="minorHAnsi"/>
                <w:sz w:val="24"/>
                <w:szCs w:val="24"/>
              </w:rPr>
              <w:t>informal units</w:t>
            </w:r>
            <w:r w:rsidR="00C309AF" w:rsidRPr="00FF6D7E">
              <w:rPr>
                <w:rStyle w:val="Hyperlink"/>
                <w:rFonts w:asciiTheme="minorHAnsi" w:hAnsiTheme="minorHAnsi"/>
                <w:sz w:val="24"/>
                <w:szCs w:val="24"/>
              </w:rPr>
              <w:fldChar w:fldCharType="end"/>
            </w:r>
            <w:r w:rsidR="009852C6" w:rsidRPr="00FF6D7E">
              <w:rPr>
                <w:rFonts w:asciiTheme="minorHAnsi" w:hAnsiTheme="minorHAnsi"/>
                <w:color w:val="000000"/>
                <w:sz w:val="24"/>
                <w:szCs w:val="24"/>
              </w:rPr>
              <w:t xml:space="preserve">, </w:t>
            </w:r>
            <w:proofErr w:type="spellStart"/>
            <w:r w:rsidR="009852C6" w:rsidRPr="00FF6D7E">
              <w:rPr>
                <w:rFonts w:asciiTheme="minorHAnsi" w:hAnsiTheme="minorHAnsi"/>
                <w:color w:val="000000"/>
                <w:sz w:val="24"/>
                <w:szCs w:val="24"/>
              </w:rPr>
              <w:t>eg</w:t>
            </w:r>
            <w:proofErr w:type="spellEnd"/>
            <w:r w:rsidR="009852C6" w:rsidRPr="00FF6D7E">
              <w:rPr>
                <w:rFonts w:asciiTheme="minorHAnsi" w:hAnsiTheme="minorHAnsi"/>
                <w:color w:val="000000"/>
                <w:sz w:val="24"/>
                <w:szCs w:val="24"/>
              </w:rPr>
              <w:t> 250 mL fruit juice containers, 1 teaspoon is approximately 5 mL (Reasoning)</w:t>
            </w:r>
          </w:p>
          <w:p w14:paraId="2CF7CFC8" w14:textId="77777777" w:rsidR="00CA13F7" w:rsidRPr="00FF6D7E" w:rsidRDefault="00CA13F7" w:rsidP="00FF6D7E">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66B2D6F8" w14:textId="77777777" w:rsidR="00F10A55" w:rsidRPr="001D0166" w:rsidRDefault="00CA55FB" w:rsidP="001D0166">
            <w:pPr>
              <w:pStyle w:val="ListParagraph"/>
              <w:numPr>
                <w:ilvl w:val="0"/>
                <w:numId w:val="39"/>
              </w:numPr>
              <w:autoSpaceDE w:val="0"/>
              <w:autoSpaceDN w:val="0"/>
              <w:adjustRightInd w:val="0"/>
              <w:rPr>
                <w:rFonts w:asciiTheme="minorHAnsi" w:hAnsiTheme="minorHAnsi"/>
                <w:color w:val="FF0000"/>
                <w:sz w:val="24"/>
                <w:szCs w:val="24"/>
              </w:rPr>
            </w:pPr>
            <w:r w:rsidRPr="001D0166">
              <w:rPr>
                <w:rFonts w:asciiTheme="minorHAnsi" w:hAnsiTheme="minorHAnsi"/>
                <w:color w:val="FF0000"/>
                <w:sz w:val="24"/>
                <w:szCs w:val="24"/>
              </w:rPr>
              <w:t xml:space="preserve">Worksheet </w:t>
            </w:r>
            <w:r w:rsidR="005E1EB8" w:rsidRPr="001D0166">
              <w:rPr>
                <w:rFonts w:asciiTheme="minorHAnsi" w:hAnsiTheme="minorHAnsi"/>
                <w:color w:val="FF0000"/>
                <w:sz w:val="24"/>
                <w:szCs w:val="24"/>
              </w:rPr>
              <w:t>– compare and order the capacities of two or more containers, and convert between millilitres and litres.</w:t>
            </w:r>
          </w:p>
          <w:p w14:paraId="75EDE0E0" w14:textId="77777777" w:rsidR="00231A60" w:rsidRPr="002003B1" w:rsidRDefault="00231A60" w:rsidP="00F10A55">
            <w:pPr>
              <w:autoSpaceDE w:val="0"/>
              <w:autoSpaceDN w:val="0"/>
              <w:adjustRightInd w:val="0"/>
              <w:rPr>
                <w:rFonts w:asciiTheme="minorHAnsi" w:hAnsiTheme="minorHAnsi"/>
                <w:color w:val="FF0000"/>
                <w:sz w:val="24"/>
                <w:szCs w:val="24"/>
              </w:rPr>
            </w:pPr>
          </w:p>
          <w:p w14:paraId="417200E2" w14:textId="29E1AC30" w:rsidR="00231A60" w:rsidRPr="002003B1" w:rsidRDefault="001D0166" w:rsidP="00F10A55">
            <w:pPr>
              <w:autoSpaceDE w:val="0"/>
              <w:autoSpaceDN w:val="0"/>
              <w:adjustRightInd w:val="0"/>
              <w:rPr>
                <w:rFonts w:asciiTheme="minorHAnsi" w:hAnsiTheme="minorHAnsi"/>
                <w:sz w:val="24"/>
                <w:szCs w:val="24"/>
              </w:rPr>
            </w:pPr>
            <w:hyperlink r:id="rId7" w:history="1">
              <w:r w:rsidR="00231A60" w:rsidRPr="002003B1">
                <w:rPr>
                  <w:rStyle w:val="Hyperlink"/>
                  <w:rFonts w:asciiTheme="minorHAnsi" w:hAnsiTheme="minorHAnsi"/>
                  <w:sz w:val="24"/>
                  <w:szCs w:val="24"/>
                </w:rPr>
                <w:t>http://www.studyladder.com.au/resources/teacher/mathematics?section=40</w:t>
              </w:r>
            </w:hyperlink>
          </w:p>
          <w:p w14:paraId="0CC9F641" w14:textId="39991972" w:rsidR="00231A60" w:rsidRPr="00CA55FB" w:rsidRDefault="00231A60" w:rsidP="00F10A55">
            <w:pPr>
              <w:autoSpaceDE w:val="0"/>
              <w:autoSpaceDN w:val="0"/>
              <w:adjustRightInd w:val="0"/>
              <w:rPr>
                <w:rFonts w:asciiTheme="minorHAnsi" w:hAnsiTheme="minorHAnsi"/>
                <w:sz w:val="24"/>
                <w:szCs w:val="24"/>
              </w:rPr>
            </w:pPr>
          </w:p>
        </w:tc>
      </w:tr>
      <w:tr w:rsidR="005A7343" w:rsidRPr="004A4DA4" w14:paraId="3AC2808E"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1E704E1" w14:textId="3855D072" w:rsidR="00231A60" w:rsidRPr="002003B1" w:rsidRDefault="005E1EB8" w:rsidP="001D0166">
            <w:pPr>
              <w:numPr>
                <w:ilvl w:val="0"/>
                <w:numId w:val="38"/>
              </w:numPr>
              <w:shd w:val="clear" w:color="auto" w:fill="FFFFFF"/>
              <w:spacing w:before="100" w:beforeAutospacing="1" w:after="100" w:afterAutospacing="1"/>
              <w:rPr>
                <w:rFonts w:asciiTheme="minorHAnsi" w:hAnsiTheme="minorHAnsi"/>
                <w:color w:val="3E3E40"/>
                <w:sz w:val="24"/>
                <w:szCs w:val="24"/>
              </w:rPr>
            </w:pPr>
            <w:r w:rsidRPr="002003B1">
              <w:rPr>
                <w:rFonts w:asciiTheme="minorHAnsi" w:hAnsiTheme="minorHAnsi"/>
                <w:sz w:val="24"/>
                <w:szCs w:val="24"/>
              </w:rPr>
              <w:t xml:space="preserve">IWB - </w:t>
            </w:r>
            <w:r w:rsidR="00231A60" w:rsidRPr="002003B1">
              <w:rPr>
                <w:rFonts w:asciiTheme="minorHAnsi" w:hAnsiTheme="minorHAnsi"/>
                <w:bCs/>
                <w:color w:val="3E3E40"/>
                <w:sz w:val="24"/>
                <w:szCs w:val="24"/>
              </w:rPr>
              <w:t>Millilitres and litres: Activity 1</w:t>
            </w:r>
          </w:p>
          <w:p w14:paraId="4F406728" w14:textId="75F27D29" w:rsidR="005A7343" w:rsidRPr="002003B1" w:rsidRDefault="00231A60" w:rsidP="00F10A55">
            <w:pPr>
              <w:autoSpaceDE w:val="0"/>
              <w:autoSpaceDN w:val="0"/>
              <w:adjustRightInd w:val="0"/>
              <w:rPr>
                <w:rFonts w:asciiTheme="minorHAnsi" w:hAnsiTheme="minorHAnsi"/>
                <w:sz w:val="24"/>
                <w:szCs w:val="24"/>
              </w:rPr>
            </w:pPr>
            <w:r w:rsidRPr="002003B1">
              <w:rPr>
                <w:rFonts w:asciiTheme="minorHAnsi" w:hAnsiTheme="minorHAnsi"/>
                <w:sz w:val="24"/>
                <w:szCs w:val="24"/>
              </w:rPr>
              <w:t xml:space="preserve"> </w:t>
            </w:r>
            <w:hyperlink r:id="rId8" w:history="1">
              <w:r w:rsidRPr="002003B1">
                <w:rPr>
                  <w:rStyle w:val="Hyperlink"/>
                  <w:rFonts w:asciiTheme="minorHAnsi" w:hAnsiTheme="minorHAnsi"/>
                  <w:sz w:val="24"/>
                  <w:szCs w:val="24"/>
                </w:rPr>
                <w:t>http://www.studyladder.com.au/resources/teacher/mathematics?section=40</w:t>
              </w:r>
            </w:hyperlink>
          </w:p>
          <w:p w14:paraId="3555E1C1" w14:textId="13661BAD" w:rsidR="00231A60" w:rsidRPr="004A4DA4" w:rsidRDefault="00231A60" w:rsidP="00F10A55">
            <w:pPr>
              <w:autoSpaceDE w:val="0"/>
              <w:autoSpaceDN w:val="0"/>
              <w:adjustRightInd w:val="0"/>
              <w:rPr>
                <w:rFonts w:asciiTheme="minorHAnsi" w:hAnsiTheme="minorHAnsi"/>
                <w:sz w:val="24"/>
                <w:szCs w:val="24"/>
              </w:rPr>
            </w:pP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4D73262D" w14:textId="77777777" w:rsidR="00FC5222" w:rsidRDefault="00FC5222" w:rsidP="00F63424">
            <w:pPr>
              <w:rPr>
                <w:rFonts w:ascii="Arial" w:hAnsi="Arial" w:cs="Arial"/>
              </w:rPr>
            </w:pPr>
          </w:p>
          <w:p w14:paraId="73D80323" w14:textId="29AE0658" w:rsidR="00F63424" w:rsidRPr="001D0166" w:rsidRDefault="00CB6EF7" w:rsidP="001D0166">
            <w:pPr>
              <w:pStyle w:val="ListParagraph"/>
              <w:numPr>
                <w:ilvl w:val="0"/>
                <w:numId w:val="38"/>
              </w:numPr>
              <w:rPr>
                <w:rFonts w:asciiTheme="minorHAnsi" w:hAnsiTheme="minorHAnsi" w:cs="Arial"/>
                <w:sz w:val="24"/>
                <w:szCs w:val="24"/>
              </w:rPr>
            </w:pPr>
            <w:r w:rsidRPr="001D0166">
              <w:rPr>
                <w:rFonts w:asciiTheme="minorHAnsi" w:hAnsiTheme="minorHAnsi" w:cs="Arial"/>
                <w:sz w:val="24"/>
                <w:szCs w:val="24"/>
              </w:rPr>
              <w:t>I bought three cartons of milk. Each carton held 250ml of milk. How much milk did I buy in all?</w:t>
            </w:r>
          </w:p>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852C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852C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852C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DD1EED4" w14:textId="442FC030" w:rsidR="00FE28E6" w:rsidRDefault="002E649B" w:rsidP="00FE28E6">
            <w:pPr>
              <w:rPr>
                <w:rFonts w:asciiTheme="minorHAnsi" w:hAnsiTheme="minorHAnsi"/>
                <w:sz w:val="24"/>
                <w:szCs w:val="24"/>
              </w:rPr>
            </w:pPr>
            <w:r>
              <w:rPr>
                <w:rFonts w:asciiTheme="minorHAnsi" w:hAnsiTheme="minorHAnsi"/>
                <w:sz w:val="24"/>
                <w:szCs w:val="24"/>
              </w:rPr>
              <w:t>IWB, measuring device calibrated in multiples of 100, containers with different capacities and volumes, cubic centimetre blocks and water.</w:t>
            </w:r>
            <w:r w:rsidR="007A1BC0">
              <w:rPr>
                <w:rFonts w:asciiTheme="minorHAnsi" w:hAnsiTheme="minorHAnsi"/>
                <w:sz w:val="24"/>
                <w:szCs w:val="24"/>
              </w:rPr>
              <w:t xml:space="preserve"> (Pa</w:t>
            </w:r>
            <w:r w:rsidR="00FE28E6">
              <w:rPr>
                <w:rFonts w:asciiTheme="minorHAnsi" w:hAnsiTheme="minorHAnsi"/>
                <w:sz w:val="24"/>
                <w:szCs w:val="24"/>
              </w:rPr>
              <w:t>g</w:t>
            </w:r>
            <w:r w:rsidR="007A1BC0">
              <w:rPr>
                <w:rFonts w:asciiTheme="minorHAnsi" w:hAnsiTheme="minorHAnsi"/>
                <w:sz w:val="24"/>
                <w:szCs w:val="24"/>
              </w:rPr>
              <w:t>e 41- Signpost Maths Assessment Middle P</w:t>
            </w:r>
            <w:r w:rsidR="00FE28E6">
              <w:rPr>
                <w:rFonts w:asciiTheme="minorHAnsi" w:hAnsiTheme="minorHAnsi"/>
                <w:sz w:val="24"/>
                <w:szCs w:val="24"/>
              </w:rPr>
              <w:t>rimary).</w:t>
            </w:r>
          </w:p>
          <w:p w14:paraId="47AC8D3C" w14:textId="1B14F00F" w:rsidR="00FE28E6" w:rsidRPr="004A4DA4" w:rsidRDefault="00FE28E6" w:rsidP="002E649B">
            <w:pPr>
              <w:rPr>
                <w:rFonts w:asciiTheme="minorHAnsi" w:hAnsiTheme="minorHAnsi"/>
                <w:sz w:val="24"/>
                <w:szCs w:val="24"/>
              </w:rPr>
            </w:pPr>
          </w:p>
        </w:tc>
      </w:tr>
    </w:tbl>
    <w:p w14:paraId="3D7C8727" w14:textId="1C833C04" w:rsidR="00CA13F7" w:rsidRDefault="00CA13F7">
      <w:pPr>
        <w:spacing w:after="200" w:line="276" w:lineRule="auto"/>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FF6D7E" w:rsidRDefault="001C6A19" w:rsidP="001C6A19">
            <w:pPr>
              <w:pStyle w:val="Heading2"/>
              <w:rPr>
                <w:rFonts w:asciiTheme="minorHAnsi" w:hAnsiTheme="minorHAnsi"/>
                <w:sz w:val="22"/>
                <w:szCs w:val="22"/>
              </w:rPr>
            </w:pPr>
            <w:r w:rsidRPr="00FF6D7E">
              <w:rPr>
                <w:rFonts w:asciiTheme="minorHAnsi" w:hAnsiTheme="minorHAnsi"/>
                <w:sz w:val="22"/>
                <w:szCs w:val="22"/>
              </w:rPr>
              <w:t>WHOLE CLASS INSTRUCTION 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84C87">
        <w:trPr>
          <w:trHeight w:val="1544"/>
        </w:trPr>
        <w:tc>
          <w:tcPr>
            <w:tcW w:w="3936" w:type="dxa"/>
            <w:vMerge w:val="restart"/>
            <w:tcBorders>
              <w:right w:val="single" w:sz="4" w:space="0" w:color="auto"/>
            </w:tcBorders>
          </w:tcPr>
          <w:p w14:paraId="0E4D08A9" w14:textId="1ABE657E" w:rsidR="001C6A19" w:rsidRPr="00FF6D7E" w:rsidRDefault="004453D8" w:rsidP="00E038C2">
            <w:pPr>
              <w:pStyle w:val="Heading2"/>
              <w:numPr>
                <w:ilvl w:val="0"/>
                <w:numId w:val="34"/>
              </w:numPr>
              <w:rPr>
                <w:rFonts w:asciiTheme="minorHAnsi" w:hAnsiTheme="minorHAnsi"/>
                <w:sz w:val="22"/>
                <w:szCs w:val="22"/>
              </w:rPr>
            </w:pPr>
            <w:r w:rsidRPr="00FF6D7E">
              <w:rPr>
                <w:rFonts w:asciiTheme="minorHAnsi" w:hAnsiTheme="minorHAnsi"/>
                <w:sz w:val="22"/>
                <w:szCs w:val="22"/>
              </w:rPr>
              <w:t>Explicitly communicate lesson outcomes</w:t>
            </w:r>
            <w:r w:rsidRPr="00FF6D7E">
              <w:rPr>
                <w:rFonts w:asciiTheme="minorHAnsi" w:hAnsiTheme="minorHAnsi"/>
                <w:b w:val="0"/>
                <w:sz w:val="22"/>
                <w:szCs w:val="22"/>
              </w:rPr>
              <w:t>: Students should be able to recognise the need for a formal unit smaller than a litre to measure volume and capacity, and that there is 1000 millilitres in 1 litre.</w:t>
            </w:r>
          </w:p>
          <w:p w14:paraId="3C52043A" w14:textId="77777777" w:rsidR="00793C14" w:rsidRPr="00FF6D7E" w:rsidRDefault="00793C14" w:rsidP="00793C14">
            <w:pPr>
              <w:rPr>
                <w:sz w:val="22"/>
                <w:szCs w:val="22"/>
              </w:rPr>
            </w:pPr>
          </w:p>
          <w:p w14:paraId="5D206326" w14:textId="77777777" w:rsidR="00793C14" w:rsidRPr="00FF6D7E" w:rsidRDefault="00276AC2" w:rsidP="00E76FF0">
            <w:pPr>
              <w:pStyle w:val="ListParagraph"/>
              <w:numPr>
                <w:ilvl w:val="0"/>
                <w:numId w:val="34"/>
              </w:numPr>
              <w:rPr>
                <w:rFonts w:asciiTheme="minorHAnsi" w:hAnsiTheme="minorHAnsi"/>
                <w:sz w:val="22"/>
                <w:szCs w:val="22"/>
              </w:rPr>
            </w:pPr>
            <w:r w:rsidRPr="00FF6D7E">
              <w:rPr>
                <w:rFonts w:asciiTheme="minorHAnsi" w:hAnsiTheme="minorHAnsi"/>
                <w:b/>
                <w:sz w:val="22"/>
                <w:szCs w:val="22"/>
              </w:rPr>
              <w:t>Teach and review</w:t>
            </w:r>
            <w:r w:rsidR="0016220B" w:rsidRPr="00FF6D7E">
              <w:rPr>
                <w:rFonts w:asciiTheme="minorHAnsi" w:hAnsiTheme="minorHAnsi"/>
                <w:b/>
                <w:sz w:val="22"/>
                <w:szCs w:val="22"/>
              </w:rPr>
              <w:t>:</w:t>
            </w:r>
            <w:r w:rsidR="008F5C45" w:rsidRPr="00FF6D7E">
              <w:rPr>
                <w:rFonts w:asciiTheme="minorHAnsi" w:hAnsiTheme="minorHAnsi"/>
                <w:b/>
                <w:sz w:val="22"/>
                <w:szCs w:val="22"/>
              </w:rPr>
              <w:t xml:space="preserve"> </w:t>
            </w:r>
            <w:r w:rsidR="008F5C45" w:rsidRPr="00FF6D7E">
              <w:rPr>
                <w:rFonts w:asciiTheme="minorHAnsi" w:hAnsiTheme="minorHAnsi"/>
                <w:sz w:val="22"/>
                <w:szCs w:val="22"/>
              </w:rPr>
              <w:t>Volume and capacity can relate to the measurement of three-dimensional space, in the same way that area relates to the measurement of two-dimensional space.</w:t>
            </w:r>
          </w:p>
          <w:p w14:paraId="3E88A27D" w14:textId="77777777" w:rsidR="008F5C45" w:rsidRPr="00FF6D7E" w:rsidRDefault="008F5C45" w:rsidP="00793C14">
            <w:pPr>
              <w:rPr>
                <w:rFonts w:asciiTheme="minorHAnsi" w:hAnsiTheme="minorHAnsi"/>
                <w:sz w:val="22"/>
                <w:szCs w:val="22"/>
              </w:rPr>
            </w:pPr>
          </w:p>
          <w:p w14:paraId="6D135C07" w14:textId="77777777" w:rsidR="008F5C45" w:rsidRPr="00FF6D7E" w:rsidRDefault="008F5C45" w:rsidP="00FF6D7E">
            <w:pPr>
              <w:pStyle w:val="ListParagraph"/>
              <w:ind w:left="360"/>
              <w:rPr>
                <w:rFonts w:asciiTheme="minorHAnsi" w:hAnsiTheme="minorHAnsi"/>
                <w:sz w:val="22"/>
                <w:szCs w:val="22"/>
              </w:rPr>
            </w:pPr>
            <w:r w:rsidRPr="00FF6D7E">
              <w:rPr>
                <w:rFonts w:asciiTheme="minorHAnsi" w:hAnsiTheme="minorHAnsi"/>
                <w:sz w:val="22"/>
                <w:szCs w:val="22"/>
              </w:rPr>
              <w:t xml:space="preserve">Capacity refers to </w:t>
            </w:r>
            <w:r w:rsidR="00761898" w:rsidRPr="00FF6D7E">
              <w:rPr>
                <w:rFonts w:asciiTheme="minorHAnsi" w:hAnsiTheme="minorHAnsi"/>
                <w:sz w:val="22"/>
                <w:szCs w:val="22"/>
              </w:rPr>
              <w:t>the amount a container can hold, and can be measured in millilitres (mL) and/or litres (L). There are 1000 mL in 1 L.</w:t>
            </w:r>
          </w:p>
          <w:p w14:paraId="76ECDCF5" w14:textId="77777777" w:rsidR="007A1BC0" w:rsidRPr="00FF6D7E" w:rsidRDefault="007A1BC0" w:rsidP="00761898">
            <w:pPr>
              <w:rPr>
                <w:rFonts w:asciiTheme="minorHAnsi" w:hAnsiTheme="minorHAnsi"/>
                <w:sz w:val="22"/>
                <w:szCs w:val="22"/>
              </w:rPr>
            </w:pPr>
          </w:p>
          <w:p w14:paraId="77E595F1" w14:textId="404301F4" w:rsidR="007A1BC0" w:rsidRPr="00FF6D7E" w:rsidRDefault="007A1BC0" w:rsidP="00FF6D7E">
            <w:pPr>
              <w:pStyle w:val="ListParagraph"/>
              <w:ind w:left="360"/>
              <w:rPr>
                <w:rFonts w:asciiTheme="minorHAnsi" w:hAnsiTheme="minorHAnsi"/>
                <w:sz w:val="22"/>
                <w:szCs w:val="22"/>
              </w:rPr>
            </w:pPr>
            <w:r w:rsidRPr="00FF6D7E">
              <w:rPr>
                <w:rFonts w:asciiTheme="minorHAnsi" w:hAnsiTheme="minorHAnsi"/>
                <w:sz w:val="22"/>
                <w:szCs w:val="22"/>
              </w:rPr>
              <w:t>Volume is the amount of space an object occupies. It can be measured in cubic centimetres (cm2) and cubic metres (m2).</w:t>
            </w:r>
          </w:p>
          <w:p w14:paraId="15484A73" w14:textId="77777777" w:rsidR="00761898" w:rsidRPr="00FF6D7E" w:rsidRDefault="00761898" w:rsidP="00761898">
            <w:pPr>
              <w:rPr>
                <w:rFonts w:asciiTheme="minorHAnsi" w:hAnsiTheme="minorHAnsi"/>
                <w:sz w:val="22"/>
                <w:szCs w:val="22"/>
              </w:rPr>
            </w:pPr>
          </w:p>
          <w:p w14:paraId="0595B3CA" w14:textId="66FC046F" w:rsidR="00FE28E6" w:rsidRPr="00FF6D7E" w:rsidRDefault="00761898" w:rsidP="00761898">
            <w:pPr>
              <w:pStyle w:val="ListParagraph"/>
              <w:numPr>
                <w:ilvl w:val="0"/>
                <w:numId w:val="35"/>
              </w:numPr>
              <w:rPr>
                <w:rFonts w:asciiTheme="minorHAnsi" w:hAnsiTheme="minorHAnsi"/>
                <w:sz w:val="22"/>
                <w:szCs w:val="22"/>
              </w:rPr>
            </w:pPr>
            <w:r w:rsidRPr="00FF6D7E">
              <w:rPr>
                <w:rFonts w:asciiTheme="minorHAnsi" w:hAnsiTheme="minorHAnsi"/>
                <w:b/>
                <w:sz w:val="22"/>
                <w:szCs w:val="22"/>
              </w:rPr>
              <w:t>Define and reinforce metalanguage:</w:t>
            </w:r>
            <w:r w:rsidRPr="00FF6D7E">
              <w:rPr>
                <w:rFonts w:asciiTheme="minorHAnsi" w:hAnsiTheme="minorHAnsi"/>
                <w:sz w:val="22"/>
                <w:szCs w:val="22"/>
              </w:rPr>
              <w:t xml:space="preserve"> capacity, container, volume, measure, estimate, </w:t>
            </w:r>
            <w:proofErr w:type="gramStart"/>
            <w:r w:rsidRPr="00FF6D7E">
              <w:rPr>
                <w:rFonts w:asciiTheme="minorHAnsi" w:hAnsiTheme="minorHAnsi"/>
                <w:sz w:val="22"/>
                <w:szCs w:val="22"/>
              </w:rPr>
              <w:t>full</w:t>
            </w:r>
            <w:proofErr w:type="gramEnd"/>
            <w:r w:rsidRPr="00FF6D7E">
              <w:rPr>
                <w:rFonts w:asciiTheme="minorHAnsi" w:hAnsiTheme="minorHAnsi"/>
                <w:sz w:val="22"/>
                <w:szCs w:val="22"/>
              </w:rPr>
              <w:t>, empty, liquid.</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19DB8B04" w14:textId="3F625F18" w:rsidR="001C6A19" w:rsidRPr="00FF6D7E" w:rsidRDefault="005232A4" w:rsidP="005232A4">
            <w:pPr>
              <w:pStyle w:val="ListParagraph"/>
              <w:numPr>
                <w:ilvl w:val="0"/>
                <w:numId w:val="35"/>
              </w:numPr>
              <w:rPr>
                <w:rFonts w:asciiTheme="minorHAnsi" w:hAnsiTheme="minorHAnsi"/>
                <w:b/>
                <w:sz w:val="22"/>
                <w:szCs w:val="22"/>
              </w:rPr>
            </w:pPr>
            <w:r w:rsidRPr="00FF6D7E">
              <w:rPr>
                <w:rFonts w:asciiTheme="minorHAnsi" w:hAnsiTheme="minorHAnsi"/>
                <w:b/>
                <w:sz w:val="22"/>
                <w:szCs w:val="22"/>
              </w:rPr>
              <w:t>How Could I Measure?</w:t>
            </w:r>
            <w:r w:rsidR="002003B1" w:rsidRPr="00FF6D7E">
              <w:rPr>
                <w:rFonts w:asciiTheme="minorHAnsi" w:hAnsiTheme="minorHAnsi"/>
                <w:b/>
                <w:sz w:val="22"/>
                <w:szCs w:val="22"/>
              </w:rPr>
              <w:t xml:space="preserve"> </w:t>
            </w:r>
            <w:r w:rsidRPr="00FF6D7E">
              <w:rPr>
                <w:rFonts w:asciiTheme="minorHAnsi" w:hAnsiTheme="minorHAnsi"/>
                <w:sz w:val="22"/>
                <w:szCs w:val="22"/>
              </w:rPr>
              <w:t>Students suggest different materials that could be used to measure different containers, e.g. sand, water for cylindrical containers, blocks for rectangular boxes.</w:t>
            </w:r>
            <w:r w:rsidR="002003B1" w:rsidRPr="00FF6D7E">
              <w:rPr>
                <w:rFonts w:asciiTheme="minorHAnsi" w:hAnsiTheme="minorHAnsi"/>
                <w:sz w:val="22"/>
                <w:szCs w:val="22"/>
              </w:rPr>
              <w:t xml:space="preserve"> </w:t>
            </w:r>
            <w:r w:rsidRPr="00FF6D7E">
              <w:rPr>
                <w:rFonts w:asciiTheme="minorHAnsi" w:hAnsiTheme="minorHAnsi"/>
                <w:sz w:val="22"/>
                <w:szCs w:val="22"/>
              </w:rPr>
              <w:t>Record what happened when different materials were used.</w:t>
            </w:r>
          </w:p>
        </w:tc>
      </w:tr>
      <w:tr w:rsidR="001C6A19" w:rsidRPr="004A4DA4" w14:paraId="3552F0D4" w14:textId="1670C5DD" w:rsidTr="0016220B">
        <w:trPr>
          <w:trHeight w:val="4404"/>
        </w:trPr>
        <w:tc>
          <w:tcPr>
            <w:tcW w:w="3936" w:type="dxa"/>
            <w:vMerge/>
            <w:tcBorders>
              <w:right w:val="single" w:sz="4" w:space="0" w:color="auto"/>
            </w:tcBorders>
          </w:tcPr>
          <w:p w14:paraId="1B9B11E8" w14:textId="1B5965E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297452EB" w14:textId="69577963" w:rsidR="007E4125" w:rsidRPr="00FF6D7E" w:rsidRDefault="00B84C87" w:rsidP="00E76FF0">
            <w:pPr>
              <w:pStyle w:val="ListParagraph"/>
              <w:numPr>
                <w:ilvl w:val="0"/>
                <w:numId w:val="35"/>
              </w:numPr>
              <w:rPr>
                <w:rFonts w:asciiTheme="minorHAnsi" w:hAnsiTheme="minorHAnsi"/>
                <w:sz w:val="22"/>
                <w:szCs w:val="22"/>
              </w:rPr>
            </w:pPr>
            <w:r w:rsidRPr="00FF6D7E">
              <w:rPr>
                <w:rFonts w:asciiTheme="minorHAnsi" w:hAnsiTheme="minorHAnsi"/>
                <w:b/>
                <w:sz w:val="22"/>
                <w:szCs w:val="22"/>
              </w:rPr>
              <w:t>Brainstorming:</w:t>
            </w:r>
            <w:r w:rsidRPr="00FF6D7E">
              <w:rPr>
                <w:rFonts w:asciiTheme="minorHAnsi" w:hAnsiTheme="minorHAnsi"/>
                <w:sz w:val="22"/>
                <w:szCs w:val="22"/>
              </w:rPr>
              <w:t xml:space="preserve"> </w:t>
            </w:r>
            <w:r w:rsidR="006F775D" w:rsidRPr="00FF6D7E">
              <w:rPr>
                <w:rFonts w:asciiTheme="minorHAnsi" w:hAnsiTheme="minorHAnsi"/>
                <w:sz w:val="22"/>
                <w:szCs w:val="22"/>
              </w:rPr>
              <w:t>Ask students in groups of four to brainstorm what they know about measuring liquids and what units of measurement they could use. Provide students with containers with capacities labelled. Ask them what the L and mL might mean. Ask them to order the containers from least to greatest capacity and then discuss how many millilitres there are in 1 litre. Have them use calibrated containers to test.</w:t>
            </w:r>
          </w:p>
          <w:p w14:paraId="42DB4FD4" w14:textId="77777777" w:rsidR="006F775D" w:rsidRPr="00FF6D7E" w:rsidRDefault="006F775D" w:rsidP="00520774">
            <w:pPr>
              <w:rPr>
                <w:rFonts w:asciiTheme="minorHAnsi" w:hAnsiTheme="minorHAnsi"/>
                <w:sz w:val="22"/>
                <w:szCs w:val="22"/>
              </w:rPr>
            </w:pPr>
          </w:p>
          <w:p w14:paraId="6E9DC6AD" w14:textId="510C8BAE" w:rsidR="007E4125" w:rsidRPr="00FF6D7E" w:rsidRDefault="006F775D" w:rsidP="00E76FF0">
            <w:pPr>
              <w:pStyle w:val="ListParagraph"/>
              <w:numPr>
                <w:ilvl w:val="0"/>
                <w:numId w:val="35"/>
              </w:numPr>
              <w:rPr>
                <w:rFonts w:asciiTheme="minorHAnsi" w:hAnsiTheme="minorHAnsi"/>
                <w:sz w:val="22"/>
                <w:szCs w:val="22"/>
              </w:rPr>
            </w:pPr>
            <w:r w:rsidRPr="00FF6D7E">
              <w:rPr>
                <w:rFonts w:asciiTheme="minorHAnsi" w:hAnsiTheme="minorHAnsi"/>
                <w:b/>
                <w:sz w:val="22"/>
                <w:szCs w:val="22"/>
              </w:rPr>
              <w:t>Kinaesth</w:t>
            </w:r>
            <w:r w:rsidR="00B84C87" w:rsidRPr="00FF6D7E">
              <w:rPr>
                <w:rFonts w:asciiTheme="minorHAnsi" w:hAnsiTheme="minorHAnsi"/>
                <w:b/>
                <w:sz w:val="22"/>
                <w:szCs w:val="22"/>
              </w:rPr>
              <w:t>et</w:t>
            </w:r>
            <w:r w:rsidRPr="00FF6D7E">
              <w:rPr>
                <w:rFonts w:asciiTheme="minorHAnsi" w:hAnsiTheme="minorHAnsi"/>
                <w:b/>
                <w:sz w:val="22"/>
                <w:szCs w:val="22"/>
              </w:rPr>
              <w:t>ic challenge</w:t>
            </w:r>
            <w:r w:rsidRPr="00FF6D7E">
              <w:rPr>
                <w:rFonts w:asciiTheme="minorHAnsi" w:hAnsiTheme="minorHAnsi"/>
                <w:sz w:val="22"/>
                <w:szCs w:val="22"/>
              </w:rPr>
              <w:t>: Provide students with unmarked containers and ask them to estimate</w:t>
            </w:r>
            <w:r w:rsidR="003A116E" w:rsidRPr="00FF6D7E">
              <w:rPr>
                <w:rFonts w:asciiTheme="minorHAnsi" w:hAnsiTheme="minorHAnsi"/>
                <w:sz w:val="22"/>
                <w:szCs w:val="22"/>
              </w:rPr>
              <w:t xml:space="preserve"> the capacity. Have them check their predictions using a calibrated container.</w:t>
            </w:r>
            <w:r w:rsidRPr="00FF6D7E">
              <w:rPr>
                <w:rFonts w:asciiTheme="minorHAnsi" w:hAnsiTheme="minorHAnsi"/>
                <w:sz w:val="22"/>
                <w:szCs w:val="22"/>
              </w:rPr>
              <w:t xml:space="preserve"> </w:t>
            </w:r>
          </w:p>
          <w:p w14:paraId="69C41381" w14:textId="77777777" w:rsidR="00FE28E6" w:rsidRPr="00FF6D7E" w:rsidRDefault="00FE28E6" w:rsidP="00520774">
            <w:pPr>
              <w:rPr>
                <w:rFonts w:asciiTheme="minorHAnsi" w:hAnsiTheme="minorHAnsi"/>
                <w:sz w:val="22"/>
                <w:szCs w:val="22"/>
              </w:rPr>
            </w:pPr>
          </w:p>
          <w:p w14:paraId="1DEDAC4D" w14:textId="3711B6EC" w:rsidR="00FE28E6" w:rsidRPr="00FF6D7E" w:rsidRDefault="00FE28E6" w:rsidP="00E76FF0">
            <w:pPr>
              <w:pStyle w:val="ListParagraph"/>
              <w:numPr>
                <w:ilvl w:val="0"/>
                <w:numId w:val="35"/>
              </w:numPr>
              <w:rPr>
                <w:rFonts w:asciiTheme="minorHAnsi" w:hAnsiTheme="minorHAnsi"/>
                <w:sz w:val="22"/>
                <w:szCs w:val="22"/>
              </w:rPr>
            </w:pPr>
            <w:r w:rsidRPr="00FF6D7E">
              <w:rPr>
                <w:rFonts w:asciiTheme="minorHAnsi" w:hAnsiTheme="minorHAnsi"/>
                <w:b/>
                <w:sz w:val="22"/>
                <w:szCs w:val="22"/>
              </w:rPr>
              <w:t>Investigation</w:t>
            </w:r>
            <w:r w:rsidRPr="00FF6D7E">
              <w:rPr>
                <w:rFonts w:asciiTheme="minorHAnsi" w:hAnsiTheme="minorHAnsi"/>
                <w:sz w:val="22"/>
                <w:szCs w:val="22"/>
              </w:rPr>
              <w:t>: Use a calibrated measuring device calibrated in multiples of 100 mL an</w:t>
            </w:r>
            <w:r w:rsidR="006B1724" w:rsidRPr="00FF6D7E">
              <w:rPr>
                <w:rFonts w:asciiTheme="minorHAnsi" w:hAnsiTheme="minorHAnsi"/>
                <w:sz w:val="22"/>
                <w:szCs w:val="22"/>
              </w:rPr>
              <w:t xml:space="preserve">d familiar everyday containers. Ask students to compare the containers and group them into less than 1 litre and more than 1 litre. Have students </w:t>
            </w:r>
            <w:r w:rsidRPr="00FF6D7E">
              <w:rPr>
                <w:rFonts w:asciiTheme="minorHAnsi" w:hAnsiTheme="minorHAnsi"/>
                <w:sz w:val="22"/>
                <w:szCs w:val="22"/>
              </w:rPr>
              <w:t xml:space="preserve">estimate and measure their capacities in millilitres. </w:t>
            </w:r>
          </w:p>
          <w:p w14:paraId="1AFB4074" w14:textId="77777777" w:rsidR="00E126FF" w:rsidRPr="00FF6D7E" w:rsidRDefault="00E126FF" w:rsidP="00520774">
            <w:pPr>
              <w:rPr>
                <w:rFonts w:asciiTheme="minorHAnsi" w:hAnsiTheme="minorHAnsi"/>
                <w:sz w:val="22"/>
                <w:szCs w:val="22"/>
              </w:rPr>
            </w:pPr>
          </w:p>
          <w:p w14:paraId="7F63659B" w14:textId="0876C5D3" w:rsidR="00E126FF" w:rsidRPr="00FF6D7E" w:rsidRDefault="00E126FF" w:rsidP="00E76FF0">
            <w:pPr>
              <w:pStyle w:val="ListParagraph"/>
              <w:numPr>
                <w:ilvl w:val="0"/>
                <w:numId w:val="35"/>
              </w:numPr>
              <w:rPr>
                <w:rFonts w:asciiTheme="minorHAnsi" w:hAnsiTheme="minorHAnsi"/>
                <w:color w:val="FF0000"/>
                <w:sz w:val="22"/>
                <w:szCs w:val="22"/>
              </w:rPr>
            </w:pPr>
            <w:r w:rsidRPr="00FF6D7E">
              <w:rPr>
                <w:rFonts w:asciiTheme="minorHAnsi" w:hAnsiTheme="minorHAnsi"/>
                <w:b/>
                <w:color w:val="FF0000"/>
                <w:sz w:val="22"/>
                <w:szCs w:val="22"/>
              </w:rPr>
              <w:t xml:space="preserve">Assessment – </w:t>
            </w:r>
            <w:r w:rsidRPr="00FF6D7E">
              <w:rPr>
                <w:rFonts w:asciiTheme="minorHAnsi" w:hAnsiTheme="minorHAnsi"/>
                <w:color w:val="FF0000"/>
                <w:sz w:val="22"/>
                <w:szCs w:val="22"/>
              </w:rPr>
              <w:t>Students complete an assessment</w:t>
            </w:r>
            <w:r w:rsidRPr="00FF6D7E">
              <w:rPr>
                <w:rFonts w:asciiTheme="minorHAnsi" w:hAnsiTheme="minorHAnsi"/>
                <w:b/>
                <w:color w:val="FF0000"/>
                <w:sz w:val="22"/>
                <w:szCs w:val="22"/>
              </w:rPr>
              <w:t xml:space="preserve"> </w:t>
            </w:r>
            <w:r w:rsidRPr="00FF6D7E">
              <w:rPr>
                <w:rFonts w:asciiTheme="minorHAnsi" w:hAnsiTheme="minorHAnsi"/>
                <w:color w:val="FF0000"/>
                <w:sz w:val="22"/>
                <w:szCs w:val="22"/>
              </w:rPr>
              <w:t>sheet with the following questions. Which containers would hold less than a litre? What is the best estimate for the capacity of each container? Would you use litres or millilitres to measure the following? What is the total capacity of each set of containers? Which labels have been correctly written?</w:t>
            </w:r>
          </w:p>
        </w:tc>
      </w:tr>
      <w:tr w:rsidR="001C6A19" w:rsidRPr="004A4DA4" w14:paraId="59210916" w14:textId="233DDF99" w:rsidTr="00B84C87">
        <w:trPr>
          <w:trHeight w:val="1528"/>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3D81BB6E" w14:textId="77777777" w:rsidR="00E51B97" w:rsidRPr="00FF6D7E" w:rsidRDefault="00E51B97" w:rsidP="00E76FF0">
            <w:pPr>
              <w:pStyle w:val="ListParagraph"/>
              <w:numPr>
                <w:ilvl w:val="0"/>
                <w:numId w:val="36"/>
              </w:numPr>
              <w:rPr>
                <w:rFonts w:asciiTheme="minorHAnsi" w:hAnsiTheme="minorHAnsi"/>
                <w:sz w:val="22"/>
                <w:szCs w:val="22"/>
              </w:rPr>
            </w:pPr>
            <w:r w:rsidRPr="00FF6D7E">
              <w:rPr>
                <w:rFonts w:asciiTheme="minorHAnsi" w:hAnsiTheme="minorHAnsi"/>
                <w:b/>
                <w:sz w:val="22"/>
                <w:szCs w:val="22"/>
              </w:rPr>
              <w:t>Investigation:</w:t>
            </w:r>
            <w:r w:rsidRPr="00FF6D7E">
              <w:rPr>
                <w:rFonts w:asciiTheme="minorHAnsi" w:hAnsiTheme="minorHAnsi"/>
                <w:sz w:val="22"/>
                <w:szCs w:val="22"/>
              </w:rPr>
              <w:t xml:space="preserve"> Students estimate and explore how many base 10 cubes would be needed to cover the base of the cubic metre model. Students then calculate how many layers would be needed to fill the cubic metre model.</w:t>
            </w:r>
          </w:p>
          <w:p w14:paraId="17B7C6D4" w14:textId="7C8CA360" w:rsidR="001C6A19" w:rsidRPr="00FF6D7E" w:rsidRDefault="00E51B97" w:rsidP="00E76FF0">
            <w:pPr>
              <w:pStyle w:val="ListParagraph"/>
              <w:numPr>
                <w:ilvl w:val="0"/>
                <w:numId w:val="36"/>
              </w:numPr>
              <w:rPr>
                <w:rFonts w:asciiTheme="minorHAnsi" w:hAnsiTheme="minorHAnsi"/>
                <w:sz w:val="22"/>
                <w:szCs w:val="22"/>
              </w:rPr>
            </w:pPr>
            <w:r w:rsidRPr="00FF6D7E">
              <w:rPr>
                <w:rFonts w:asciiTheme="minorHAnsi" w:hAnsiTheme="minorHAnsi"/>
                <w:b/>
                <w:sz w:val="22"/>
                <w:szCs w:val="22"/>
              </w:rPr>
              <w:t>Investigation:</w:t>
            </w:r>
            <w:r w:rsidRPr="00FF6D7E">
              <w:rPr>
                <w:rFonts w:asciiTheme="minorHAnsi" w:hAnsiTheme="minorHAnsi"/>
                <w:sz w:val="22"/>
                <w:szCs w:val="22"/>
              </w:rPr>
              <w:t xml:space="preserve"> Students investigate the volume of the classroom. After estimating, students use rulers and measuring tapes, to measure the length, width and height of classroom walls.</w:t>
            </w:r>
          </w:p>
        </w:tc>
      </w:tr>
      <w:tr w:rsidR="001C6A19" w:rsidRPr="004A4DA4" w14:paraId="7076240C" w14:textId="0053691E" w:rsidTr="0016220B">
        <w:trPr>
          <w:trHeight w:val="7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18C85A2B" w:rsidR="001C6A19" w:rsidRPr="00FF6D7E" w:rsidRDefault="00B84C87" w:rsidP="00520774">
            <w:pPr>
              <w:rPr>
                <w:rFonts w:asciiTheme="minorHAnsi" w:hAnsiTheme="minorHAnsi"/>
                <w:sz w:val="22"/>
                <w:szCs w:val="22"/>
              </w:rPr>
            </w:pPr>
            <w:r w:rsidRPr="00FF6D7E">
              <w:rPr>
                <w:rFonts w:asciiTheme="minorHAnsi" w:hAnsiTheme="minorHAnsi"/>
                <w:sz w:val="22"/>
                <w:szCs w:val="22"/>
              </w:rPr>
              <w:t>Where the students engaged? Where resources appropriate? Did students achieve outcomes? What follow up is recommended?</w:t>
            </w: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CC"/>
    <w:multiLevelType w:val="multilevel"/>
    <w:tmpl w:val="A61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FD5805"/>
    <w:multiLevelType w:val="hybridMultilevel"/>
    <w:tmpl w:val="2012AEB2"/>
    <w:lvl w:ilvl="0" w:tplc="0C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208BA"/>
    <w:multiLevelType w:val="hybridMultilevel"/>
    <w:tmpl w:val="FD962EA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A1D36"/>
    <w:multiLevelType w:val="hybridMultilevel"/>
    <w:tmpl w:val="6B9CA1C6"/>
    <w:lvl w:ilvl="0" w:tplc="8FD43470">
      <w:start w:val="1"/>
      <w:numFmt w:val="bullet"/>
      <w:lvlText w:val=""/>
      <w:lvlJc w:val="left"/>
      <w:pPr>
        <w:ind w:left="394" w:hanging="360"/>
      </w:pPr>
      <w:rPr>
        <w:rFonts w:ascii="Wingdings 2" w:hAnsi="Wingdings 2"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27761"/>
    <w:multiLevelType w:val="hybridMultilevel"/>
    <w:tmpl w:val="3A22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7AE35CB"/>
    <w:multiLevelType w:val="multilevel"/>
    <w:tmpl w:val="E54C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F66F04"/>
    <w:multiLevelType w:val="hybridMultilevel"/>
    <w:tmpl w:val="922655EE"/>
    <w:lvl w:ilvl="0" w:tplc="0C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977163"/>
    <w:multiLevelType w:val="hybridMultilevel"/>
    <w:tmpl w:val="6324C72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1962E8"/>
    <w:multiLevelType w:val="hybridMultilevel"/>
    <w:tmpl w:val="396AE306"/>
    <w:lvl w:ilvl="0" w:tplc="0C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57FF1"/>
    <w:multiLevelType w:val="multilevel"/>
    <w:tmpl w:val="4174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8E5A60"/>
    <w:multiLevelType w:val="multilevel"/>
    <w:tmpl w:val="A56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A24EC"/>
    <w:multiLevelType w:val="hybridMultilevel"/>
    <w:tmpl w:val="A7BA37AE"/>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364D5"/>
    <w:multiLevelType w:val="hybridMultilevel"/>
    <w:tmpl w:val="D34A4364"/>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EB287E"/>
    <w:multiLevelType w:val="hybridMultilevel"/>
    <w:tmpl w:val="34CA8714"/>
    <w:lvl w:ilvl="0" w:tplc="670A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D5948"/>
    <w:multiLevelType w:val="multilevel"/>
    <w:tmpl w:val="BA4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0457D9E"/>
    <w:multiLevelType w:val="hybridMultilevel"/>
    <w:tmpl w:val="B28668D4"/>
    <w:lvl w:ilvl="0" w:tplc="0C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F84E01"/>
    <w:multiLevelType w:val="multilevel"/>
    <w:tmpl w:val="6BF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476FFD"/>
    <w:multiLevelType w:val="multilevel"/>
    <w:tmpl w:val="341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3B3923"/>
    <w:multiLevelType w:val="multilevel"/>
    <w:tmpl w:val="71A0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A17226"/>
    <w:multiLevelType w:val="hybridMultilevel"/>
    <w:tmpl w:val="E87EB058"/>
    <w:lvl w:ilvl="0" w:tplc="0C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D75411"/>
    <w:multiLevelType w:val="multilevel"/>
    <w:tmpl w:val="B57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
  </w:num>
  <w:num w:numId="3">
    <w:abstractNumId w:val="32"/>
  </w:num>
  <w:num w:numId="4">
    <w:abstractNumId w:val="14"/>
  </w:num>
  <w:num w:numId="5">
    <w:abstractNumId w:val="8"/>
  </w:num>
  <w:num w:numId="6">
    <w:abstractNumId w:val="2"/>
  </w:num>
  <w:num w:numId="7">
    <w:abstractNumId w:val="20"/>
  </w:num>
  <w:num w:numId="8">
    <w:abstractNumId w:val="38"/>
  </w:num>
  <w:num w:numId="9">
    <w:abstractNumId w:val="17"/>
  </w:num>
  <w:num w:numId="10">
    <w:abstractNumId w:val="28"/>
  </w:num>
  <w:num w:numId="11">
    <w:abstractNumId w:val="16"/>
  </w:num>
  <w:num w:numId="12">
    <w:abstractNumId w:val="37"/>
  </w:num>
  <w:num w:numId="13">
    <w:abstractNumId w:val="11"/>
  </w:num>
  <w:num w:numId="14">
    <w:abstractNumId w:val="6"/>
  </w:num>
  <w:num w:numId="15">
    <w:abstractNumId w:val="24"/>
  </w:num>
  <w:num w:numId="16">
    <w:abstractNumId w:val="10"/>
  </w:num>
  <w:num w:numId="17">
    <w:abstractNumId w:val="15"/>
  </w:num>
  <w:num w:numId="18">
    <w:abstractNumId w:val="36"/>
  </w:num>
  <w:num w:numId="19">
    <w:abstractNumId w:val="21"/>
  </w:num>
  <w:num w:numId="20">
    <w:abstractNumId w:val="0"/>
  </w:num>
  <w:num w:numId="21">
    <w:abstractNumId w:val="31"/>
  </w:num>
  <w:num w:numId="22">
    <w:abstractNumId w:val="9"/>
  </w:num>
  <w:num w:numId="23">
    <w:abstractNumId w:val="33"/>
  </w:num>
  <w:num w:numId="24">
    <w:abstractNumId w:val="35"/>
  </w:num>
  <w:num w:numId="25">
    <w:abstractNumId w:val="26"/>
  </w:num>
  <w:num w:numId="26">
    <w:abstractNumId w:val="30"/>
  </w:num>
  <w:num w:numId="27">
    <w:abstractNumId w:val="19"/>
  </w:num>
  <w:num w:numId="28">
    <w:abstractNumId w:val="25"/>
  </w:num>
  <w:num w:numId="29">
    <w:abstractNumId w:val="34"/>
  </w:num>
  <w:num w:numId="30">
    <w:abstractNumId w:val="29"/>
  </w:num>
  <w:num w:numId="31">
    <w:abstractNumId w:val="3"/>
  </w:num>
  <w:num w:numId="32">
    <w:abstractNumId w:val="12"/>
  </w:num>
  <w:num w:numId="33">
    <w:abstractNumId w:val="18"/>
  </w:num>
  <w:num w:numId="34">
    <w:abstractNumId w:val="23"/>
  </w:num>
  <w:num w:numId="35">
    <w:abstractNumId w:val="4"/>
  </w:num>
  <w:num w:numId="36">
    <w:abstractNumId w:val="5"/>
  </w:num>
  <w:num w:numId="37">
    <w:abstractNumId w:val="7"/>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456C"/>
    <w:rsid w:val="00081A4D"/>
    <w:rsid w:val="00085889"/>
    <w:rsid w:val="000A54BD"/>
    <w:rsid w:val="000C4175"/>
    <w:rsid w:val="000D5733"/>
    <w:rsid w:val="0010795F"/>
    <w:rsid w:val="001131C6"/>
    <w:rsid w:val="00116C60"/>
    <w:rsid w:val="00122922"/>
    <w:rsid w:val="001357A6"/>
    <w:rsid w:val="001451A1"/>
    <w:rsid w:val="001567C2"/>
    <w:rsid w:val="0016220B"/>
    <w:rsid w:val="001717B7"/>
    <w:rsid w:val="00195AB8"/>
    <w:rsid w:val="001B7956"/>
    <w:rsid w:val="001C6A19"/>
    <w:rsid w:val="001D0166"/>
    <w:rsid w:val="001E5BDE"/>
    <w:rsid w:val="001F0A11"/>
    <w:rsid w:val="002003B1"/>
    <w:rsid w:val="00210BA1"/>
    <w:rsid w:val="0022220D"/>
    <w:rsid w:val="00231A60"/>
    <w:rsid w:val="00255D0E"/>
    <w:rsid w:val="00262977"/>
    <w:rsid w:val="002650AE"/>
    <w:rsid w:val="00276AC2"/>
    <w:rsid w:val="002A32F4"/>
    <w:rsid w:val="002B3979"/>
    <w:rsid w:val="002E2AC1"/>
    <w:rsid w:val="002E649B"/>
    <w:rsid w:val="003A116E"/>
    <w:rsid w:val="003B4C09"/>
    <w:rsid w:val="003F5FE9"/>
    <w:rsid w:val="00403F6E"/>
    <w:rsid w:val="00443B37"/>
    <w:rsid w:val="004453D8"/>
    <w:rsid w:val="004677AD"/>
    <w:rsid w:val="004A4DA4"/>
    <w:rsid w:val="004B2453"/>
    <w:rsid w:val="004B76C4"/>
    <w:rsid w:val="004D1266"/>
    <w:rsid w:val="00520774"/>
    <w:rsid w:val="00521B3A"/>
    <w:rsid w:val="005232A4"/>
    <w:rsid w:val="0053162C"/>
    <w:rsid w:val="00535872"/>
    <w:rsid w:val="00543D35"/>
    <w:rsid w:val="0057006E"/>
    <w:rsid w:val="00571856"/>
    <w:rsid w:val="00571ECB"/>
    <w:rsid w:val="00575B6D"/>
    <w:rsid w:val="005A122C"/>
    <w:rsid w:val="005A7343"/>
    <w:rsid w:val="005D2618"/>
    <w:rsid w:val="005E1EB8"/>
    <w:rsid w:val="00600AC9"/>
    <w:rsid w:val="00633BA7"/>
    <w:rsid w:val="00637574"/>
    <w:rsid w:val="006466C1"/>
    <w:rsid w:val="00680818"/>
    <w:rsid w:val="00691A0B"/>
    <w:rsid w:val="006B1724"/>
    <w:rsid w:val="006B3BAB"/>
    <w:rsid w:val="006D1864"/>
    <w:rsid w:val="006E7517"/>
    <w:rsid w:val="006F775D"/>
    <w:rsid w:val="00761898"/>
    <w:rsid w:val="00775B6D"/>
    <w:rsid w:val="0079079B"/>
    <w:rsid w:val="00793C14"/>
    <w:rsid w:val="007A1BC0"/>
    <w:rsid w:val="007A1EA1"/>
    <w:rsid w:val="007A222F"/>
    <w:rsid w:val="007C50E5"/>
    <w:rsid w:val="007E3C19"/>
    <w:rsid w:val="007E4125"/>
    <w:rsid w:val="007F31F4"/>
    <w:rsid w:val="00803F1E"/>
    <w:rsid w:val="00816899"/>
    <w:rsid w:val="008442F2"/>
    <w:rsid w:val="00845A5B"/>
    <w:rsid w:val="00867845"/>
    <w:rsid w:val="00877309"/>
    <w:rsid w:val="0088150C"/>
    <w:rsid w:val="008B7ED5"/>
    <w:rsid w:val="008C7B62"/>
    <w:rsid w:val="008D520D"/>
    <w:rsid w:val="008F4588"/>
    <w:rsid w:val="008F5C45"/>
    <w:rsid w:val="009138EC"/>
    <w:rsid w:val="00925DF8"/>
    <w:rsid w:val="00932461"/>
    <w:rsid w:val="00932E16"/>
    <w:rsid w:val="00941055"/>
    <w:rsid w:val="00956D92"/>
    <w:rsid w:val="00961AC9"/>
    <w:rsid w:val="00977E43"/>
    <w:rsid w:val="009852C6"/>
    <w:rsid w:val="009F49B9"/>
    <w:rsid w:val="00A11BAA"/>
    <w:rsid w:val="00A3753C"/>
    <w:rsid w:val="00A96550"/>
    <w:rsid w:val="00AA36FD"/>
    <w:rsid w:val="00AA7C36"/>
    <w:rsid w:val="00AB5CAF"/>
    <w:rsid w:val="00AC10DF"/>
    <w:rsid w:val="00AC1FCB"/>
    <w:rsid w:val="00AD2470"/>
    <w:rsid w:val="00B4193E"/>
    <w:rsid w:val="00B54A6D"/>
    <w:rsid w:val="00B63786"/>
    <w:rsid w:val="00B73124"/>
    <w:rsid w:val="00B84C87"/>
    <w:rsid w:val="00B964BF"/>
    <w:rsid w:val="00BA6310"/>
    <w:rsid w:val="00BC43B0"/>
    <w:rsid w:val="00BD33F5"/>
    <w:rsid w:val="00BF49F1"/>
    <w:rsid w:val="00C309AF"/>
    <w:rsid w:val="00C4146A"/>
    <w:rsid w:val="00C42F08"/>
    <w:rsid w:val="00C660B3"/>
    <w:rsid w:val="00C7475F"/>
    <w:rsid w:val="00C909B1"/>
    <w:rsid w:val="00CA13F7"/>
    <w:rsid w:val="00CA55FB"/>
    <w:rsid w:val="00CB2AF4"/>
    <w:rsid w:val="00CB39EB"/>
    <w:rsid w:val="00CB6EF7"/>
    <w:rsid w:val="00CC1635"/>
    <w:rsid w:val="00CC2336"/>
    <w:rsid w:val="00CC5D42"/>
    <w:rsid w:val="00CF042F"/>
    <w:rsid w:val="00D01B42"/>
    <w:rsid w:val="00D36387"/>
    <w:rsid w:val="00D41A1D"/>
    <w:rsid w:val="00D45271"/>
    <w:rsid w:val="00D67175"/>
    <w:rsid w:val="00D67D2E"/>
    <w:rsid w:val="00DB3CCB"/>
    <w:rsid w:val="00DF47F3"/>
    <w:rsid w:val="00DF7960"/>
    <w:rsid w:val="00E038C2"/>
    <w:rsid w:val="00E126FF"/>
    <w:rsid w:val="00E1733F"/>
    <w:rsid w:val="00E202DD"/>
    <w:rsid w:val="00E40A2A"/>
    <w:rsid w:val="00E4494B"/>
    <w:rsid w:val="00E51B97"/>
    <w:rsid w:val="00E54F7F"/>
    <w:rsid w:val="00E76FF0"/>
    <w:rsid w:val="00E84467"/>
    <w:rsid w:val="00EB1737"/>
    <w:rsid w:val="00ED18F4"/>
    <w:rsid w:val="00EE7DFF"/>
    <w:rsid w:val="00F0294E"/>
    <w:rsid w:val="00F10A55"/>
    <w:rsid w:val="00F46276"/>
    <w:rsid w:val="00F63424"/>
    <w:rsid w:val="00F97771"/>
    <w:rsid w:val="00FA063A"/>
    <w:rsid w:val="00FA3E3E"/>
    <w:rsid w:val="00FC5222"/>
    <w:rsid w:val="00FD11C0"/>
    <w:rsid w:val="00FD4CD2"/>
    <w:rsid w:val="00FE1DB3"/>
    <w:rsid w:val="00FE28E6"/>
    <w:rsid w:val="00FF45BC"/>
    <w:rsid w:val="00FF6D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9852C6"/>
  </w:style>
  <w:style w:type="character" w:customStyle="1" w:styleId="nowrap">
    <w:name w:val="nowrap"/>
    <w:basedOn w:val="DefaultParagraphFont"/>
    <w:rsid w:val="009852C6"/>
  </w:style>
  <w:style w:type="character" w:styleId="FollowedHyperlink">
    <w:name w:val="FollowedHyperlink"/>
    <w:basedOn w:val="DefaultParagraphFont"/>
    <w:uiPriority w:val="99"/>
    <w:semiHidden/>
    <w:unhideWhenUsed/>
    <w:rsid w:val="000545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
    <w:name w:val="ref"/>
    <w:basedOn w:val="DefaultParagraphFont"/>
    <w:rsid w:val="009852C6"/>
  </w:style>
  <w:style w:type="character" w:customStyle="1" w:styleId="nowrap">
    <w:name w:val="nowrap"/>
    <w:basedOn w:val="DefaultParagraphFont"/>
    <w:rsid w:val="009852C6"/>
  </w:style>
  <w:style w:type="character" w:styleId="FollowedHyperlink">
    <w:name w:val="FollowedHyperlink"/>
    <w:basedOn w:val="DefaultParagraphFont"/>
    <w:uiPriority w:val="99"/>
    <w:semiHidden/>
    <w:unhideWhenUsed/>
    <w:rsid w:val="00054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6624">
      <w:bodyDiv w:val="1"/>
      <w:marLeft w:val="0"/>
      <w:marRight w:val="0"/>
      <w:marTop w:val="0"/>
      <w:marBottom w:val="0"/>
      <w:divBdr>
        <w:top w:val="none" w:sz="0" w:space="0" w:color="auto"/>
        <w:left w:val="none" w:sz="0" w:space="0" w:color="auto"/>
        <w:bottom w:val="none" w:sz="0" w:space="0" w:color="auto"/>
        <w:right w:val="none" w:sz="0" w:space="0" w:color="auto"/>
      </w:divBdr>
    </w:div>
    <w:div w:id="1015617337">
      <w:bodyDiv w:val="1"/>
      <w:marLeft w:val="0"/>
      <w:marRight w:val="0"/>
      <w:marTop w:val="0"/>
      <w:marBottom w:val="0"/>
      <w:divBdr>
        <w:top w:val="none" w:sz="0" w:space="0" w:color="auto"/>
        <w:left w:val="none" w:sz="0" w:space="0" w:color="auto"/>
        <w:bottom w:val="none" w:sz="0" w:space="0" w:color="auto"/>
        <w:right w:val="none" w:sz="0" w:space="0" w:color="auto"/>
      </w:divBdr>
    </w:div>
    <w:div w:id="20992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udyladder.com.au/resources/teacher/mathematics?section=40" TargetMode="External"/><Relationship Id="rId8" Type="http://schemas.openxmlformats.org/officeDocument/2006/relationships/hyperlink" Target="http://www.studyladder.com.au/resources/teacher/mathematics?section=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1256-4862-9F48-90A2-B2E3534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2014-07-29T03:16:00Z</cp:lastPrinted>
  <dcterms:created xsi:type="dcterms:W3CDTF">2015-01-19T01:51:00Z</dcterms:created>
  <dcterms:modified xsi:type="dcterms:W3CDTF">2015-01-19T01:51:00Z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