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6843F73"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204DB1">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34F145B1"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680818" w:rsidRPr="00204DB1">
              <w:rPr>
                <w:rFonts w:asciiTheme="minorHAnsi" w:hAnsiTheme="minorHAnsi"/>
                <w:b w:val="0"/>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4A8308CD"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680818">
              <w:rPr>
                <w:rFonts w:asciiTheme="minorHAnsi" w:eastAsia="Times" w:hAnsiTheme="minorHAnsi"/>
                <w:sz w:val="24"/>
                <w:szCs w:val="24"/>
                <w:lang w:eastAsia="en-AU"/>
              </w:rPr>
              <w:t xml:space="preserve"> Volume and Capacity</w:t>
            </w:r>
            <w:r w:rsidR="00204DB1">
              <w:rPr>
                <w:rFonts w:asciiTheme="minorHAnsi" w:eastAsia="Times" w:hAnsiTheme="minorHAnsi"/>
                <w:sz w:val="24"/>
                <w:szCs w:val="24"/>
                <w:lang w:eastAsia="en-AU"/>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AD958A"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r w:rsidR="00680818">
              <w:rPr>
                <w:rFonts w:asciiTheme="minorHAnsi" w:hAnsiTheme="minorHAnsi"/>
                <w:sz w:val="24"/>
                <w:szCs w:val="24"/>
              </w:rPr>
              <w:t xml:space="preserve"> </w:t>
            </w:r>
          </w:p>
          <w:p w14:paraId="0E4704C7" w14:textId="255D594C" w:rsidR="00680818" w:rsidRPr="00CB39EB" w:rsidRDefault="00680818" w:rsidP="004A4DA4">
            <w:pPr>
              <w:rPr>
                <w:rFonts w:asciiTheme="minorHAnsi" w:hAnsiTheme="minorHAnsi"/>
                <w:sz w:val="24"/>
                <w:szCs w:val="24"/>
              </w:rPr>
            </w:pPr>
            <w:r>
              <w:rPr>
                <w:rFonts w:asciiTheme="minorHAnsi" w:hAnsiTheme="minorHAnsi"/>
                <w:sz w:val="24"/>
                <w:szCs w:val="24"/>
              </w:rPr>
              <w:t>MA2 – 1WM</w:t>
            </w:r>
          </w:p>
        </w:tc>
      </w:tr>
      <w:tr w:rsidR="00CA13F7" w:rsidRPr="004A4DA4" w14:paraId="2E3192F3" w14:textId="77777777" w:rsidTr="00CB39EB">
        <w:trPr>
          <w:trHeight w:hRule="exact" w:val="454"/>
        </w:trPr>
        <w:tc>
          <w:tcPr>
            <w:tcW w:w="3085" w:type="dxa"/>
            <w:gridSpan w:val="2"/>
            <w:tcBorders>
              <w:right w:val="single" w:sz="4" w:space="0" w:color="auto"/>
            </w:tcBorders>
            <w:shd w:val="clear" w:color="auto" w:fill="FFFFCC"/>
          </w:tcPr>
          <w:p w14:paraId="6CB8F9FA" w14:textId="31E1033D"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680818">
              <w:rPr>
                <w:rFonts w:asciiTheme="minorHAnsi" w:hAnsiTheme="minorHAnsi"/>
                <w:szCs w:val="24"/>
              </w:rPr>
              <w:t xml:space="preserve"> </w:t>
            </w:r>
            <w:r w:rsidR="00680818" w:rsidRPr="00347E9E">
              <w:rPr>
                <w:rFonts w:asciiTheme="minorHAnsi" w:hAnsiTheme="minorHAnsi"/>
                <w:b w:val="0"/>
                <w:szCs w:val="24"/>
              </w:rPr>
              <w:t>MA2 – 11MG</w:t>
            </w:r>
          </w:p>
        </w:tc>
        <w:tc>
          <w:tcPr>
            <w:tcW w:w="4253" w:type="dxa"/>
            <w:gridSpan w:val="3"/>
            <w:shd w:val="clear" w:color="auto" w:fill="auto"/>
          </w:tcPr>
          <w:p w14:paraId="0F5AEC8D" w14:textId="64B812C1" w:rsidR="00CA13F7" w:rsidRPr="00EF2322" w:rsidRDefault="00680818" w:rsidP="00CB39EB">
            <w:pPr>
              <w:rPr>
                <w:rFonts w:asciiTheme="minorHAnsi" w:hAnsiTheme="minorHAnsi"/>
                <w:b/>
                <w:sz w:val="24"/>
                <w:szCs w:val="24"/>
              </w:rPr>
            </w:pPr>
            <w:proofErr w:type="gramStart"/>
            <w:r w:rsidRPr="00EF2322">
              <w:rPr>
                <w:rFonts w:asciiTheme="minorHAnsi" w:hAnsiTheme="minorHAnsi"/>
                <w:b/>
                <w:sz w:val="24"/>
                <w:szCs w:val="24"/>
              </w:rPr>
              <w:t>Measures, records, compares</w:t>
            </w:r>
            <w:proofErr w:type="gramEnd"/>
            <w:r w:rsidRPr="00EF2322">
              <w:rPr>
                <w:rFonts w:asciiTheme="minorHAnsi" w:hAnsiTheme="minorHAnsi"/>
                <w:b/>
                <w:sz w:val="24"/>
                <w:szCs w:val="24"/>
              </w:rPr>
              <w:t xml:space="preserve"> and estimates volumes and capacities using litres, millilitres and cubic centimetres.</w:t>
            </w:r>
          </w:p>
        </w:tc>
      </w:tr>
      <w:tr w:rsidR="00CA13F7" w:rsidRPr="004A4DA4" w14:paraId="2B1E5F1E" w14:textId="77777777" w:rsidTr="00EF2322">
        <w:trPr>
          <w:trHeight w:hRule="exact" w:val="1830"/>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534BD0C8" w14:textId="2754FA75" w:rsidR="00347E9E" w:rsidRPr="00EF2322" w:rsidRDefault="00347E9E" w:rsidP="00EF2322">
            <w:pPr>
              <w:pStyle w:val="NoSpacing"/>
              <w:rPr>
                <w:sz w:val="24"/>
                <w:szCs w:val="24"/>
              </w:rPr>
            </w:pPr>
            <w:r w:rsidRPr="00EF2322">
              <w:rPr>
                <w:sz w:val="24"/>
                <w:szCs w:val="24"/>
              </w:rPr>
              <w:t>U</w:t>
            </w:r>
            <w:r w:rsidRPr="00EF2322">
              <w:rPr>
                <w:b/>
                <w:sz w:val="24"/>
                <w:szCs w:val="24"/>
              </w:rPr>
              <w:t>se scaled instruments to measure and compare capacities (ACMMG084)</w:t>
            </w:r>
          </w:p>
          <w:p w14:paraId="0A66E06A" w14:textId="0D1F7239" w:rsidR="00347E9E" w:rsidRPr="00EF2322" w:rsidRDefault="00EF2322" w:rsidP="00EF2322">
            <w:pPr>
              <w:pStyle w:val="NoSpacing"/>
              <w:numPr>
                <w:ilvl w:val="0"/>
                <w:numId w:val="32"/>
              </w:numPr>
              <w:ind w:left="332"/>
              <w:rPr>
                <w:sz w:val="24"/>
                <w:szCs w:val="24"/>
              </w:rPr>
            </w:pPr>
            <w:r w:rsidRPr="00EF2322">
              <w:rPr>
                <w:sz w:val="24"/>
                <w:szCs w:val="24"/>
              </w:rPr>
              <w:t>C</w:t>
            </w:r>
            <w:r w:rsidR="009852C6" w:rsidRPr="00EF2322">
              <w:rPr>
                <w:sz w:val="24"/>
                <w:szCs w:val="24"/>
              </w:rPr>
              <w:t>ompare the volumes of two or more objects by marking the change in water level when each is submerged in a container</w:t>
            </w:r>
          </w:p>
          <w:p w14:paraId="36C6BB3F" w14:textId="2D9D3071" w:rsidR="009852C6" w:rsidRPr="00EF2322" w:rsidRDefault="00EF2322" w:rsidP="00EF2322">
            <w:pPr>
              <w:pStyle w:val="NoSpacing"/>
              <w:numPr>
                <w:ilvl w:val="0"/>
                <w:numId w:val="32"/>
              </w:numPr>
              <w:ind w:left="332"/>
              <w:rPr>
                <w:sz w:val="24"/>
                <w:szCs w:val="24"/>
              </w:rPr>
            </w:pPr>
            <w:r w:rsidRPr="00EF2322">
              <w:rPr>
                <w:sz w:val="24"/>
                <w:szCs w:val="24"/>
              </w:rPr>
              <w:t>E</w:t>
            </w:r>
            <w:r w:rsidR="009852C6" w:rsidRPr="00EF2322">
              <w:rPr>
                <w:sz w:val="24"/>
                <w:szCs w:val="24"/>
              </w:rPr>
              <w:t>stimate the change in water level when an object is submerged (Reasoning)</w:t>
            </w:r>
            <w:r w:rsidR="009852C6" w:rsidRPr="00EF2322">
              <w:rPr>
                <w:rStyle w:val="apple-converted-space"/>
                <w:rFonts w:asciiTheme="minorHAnsi" w:hAnsiTheme="minorHAnsi"/>
                <w:color w:val="000000"/>
                <w:sz w:val="24"/>
                <w:szCs w:val="24"/>
              </w:rPr>
              <w:t> </w:t>
            </w:r>
          </w:p>
          <w:p w14:paraId="010A21E7" w14:textId="77777777" w:rsidR="009852C6" w:rsidRPr="00EF2322" w:rsidRDefault="009852C6" w:rsidP="00EF2322">
            <w:pPr>
              <w:pStyle w:val="NoSpacing"/>
              <w:numPr>
                <w:ilvl w:val="0"/>
                <w:numId w:val="32"/>
              </w:numPr>
              <w:ind w:left="332"/>
              <w:rPr>
                <w:sz w:val="24"/>
                <w:szCs w:val="24"/>
              </w:rPr>
            </w:pPr>
            <w:r w:rsidRPr="00EF2322">
              <w:rPr>
                <w:sz w:val="24"/>
                <w:szCs w:val="24"/>
              </w:rPr>
              <w:t>measure the overflow in millilitres when different objects are submerged in a container filled to the brim with water</w:t>
            </w:r>
          </w:p>
          <w:p w14:paraId="7CC34F5D" w14:textId="77777777" w:rsidR="009852C6" w:rsidRPr="00EF2322" w:rsidRDefault="009852C6" w:rsidP="00EF2322">
            <w:pPr>
              <w:pStyle w:val="NoSpacing"/>
              <w:numPr>
                <w:ilvl w:val="0"/>
                <w:numId w:val="32"/>
              </w:numPr>
              <w:ind w:left="332"/>
              <w:rPr>
                <w:sz w:val="24"/>
                <w:szCs w:val="24"/>
              </w:rPr>
            </w:pPr>
            <w:r w:rsidRPr="00EF2322">
              <w:rPr>
                <w:sz w:val="24"/>
                <w:szCs w:val="24"/>
              </w:rPr>
              <w:t>estimate the volume of a substan</w:t>
            </w:r>
            <w:bookmarkStart w:id="0" w:name="_GoBack"/>
            <w:bookmarkEnd w:id="0"/>
            <w:r w:rsidRPr="00EF2322">
              <w:rPr>
                <w:sz w:val="24"/>
                <w:szCs w:val="24"/>
              </w:rPr>
              <w:t>ce in a partially filled container from the information on the label detailing the contents of the container</w:t>
            </w:r>
          </w:p>
          <w:p w14:paraId="2CF7CFC8" w14:textId="77777777" w:rsidR="00CA13F7" w:rsidRPr="00EF2322" w:rsidRDefault="00CA13F7" w:rsidP="00F10A55">
            <w:pPr>
              <w:autoSpaceDE w:val="0"/>
              <w:autoSpaceDN w:val="0"/>
              <w:adjustRightInd w:val="0"/>
              <w:rPr>
                <w:rFonts w:asciiTheme="minorHAnsi" w:hAnsiTheme="minorHAnsi"/>
                <w:sz w:val="24"/>
                <w:szCs w:val="24"/>
              </w:rPr>
            </w:pPr>
          </w:p>
          <w:p w14:paraId="61739B6C" w14:textId="77777777" w:rsidR="00CA13F7" w:rsidRPr="00EF2322"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EF2322">
        <w:trPr>
          <w:trHeight w:hRule="exact" w:val="820"/>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21BFC8FC" w:rsidR="00231A60" w:rsidRPr="00EF2322" w:rsidRDefault="00CA55FB" w:rsidP="001C01DE">
            <w:pPr>
              <w:autoSpaceDE w:val="0"/>
              <w:autoSpaceDN w:val="0"/>
              <w:adjustRightInd w:val="0"/>
              <w:rPr>
                <w:rFonts w:asciiTheme="minorHAnsi" w:hAnsiTheme="minorHAnsi"/>
                <w:sz w:val="24"/>
                <w:szCs w:val="24"/>
              </w:rPr>
            </w:pPr>
            <w:r w:rsidRPr="00EF2322">
              <w:rPr>
                <w:rFonts w:asciiTheme="minorHAnsi" w:hAnsiTheme="minorHAnsi"/>
                <w:color w:val="FF0000"/>
                <w:sz w:val="24"/>
                <w:szCs w:val="24"/>
              </w:rPr>
              <w:t xml:space="preserve">Worksheet </w:t>
            </w:r>
            <w:proofErr w:type="gramStart"/>
            <w:r w:rsidR="005E1EB8" w:rsidRPr="00EF2322">
              <w:rPr>
                <w:rFonts w:asciiTheme="minorHAnsi" w:hAnsiTheme="minorHAnsi"/>
                <w:color w:val="FF0000"/>
                <w:sz w:val="24"/>
                <w:szCs w:val="24"/>
              </w:rPr>
              <w:t>–</w:t>
            </w:r>
            <w:r w:rsidR="004911AF" w:rsidRPr="00EF2322">
              <w:rPr>
                <w:rFonts w:asciiTheme="minorHAnsi" w:hAnsiTheme="minorHAnsi"/>
                <w:color w:val="FF0000"/>
                <w:sz w:val="24"/>
                <w:szCs w:val="24"/>
              </w:rPr>
              <w:t xml:space="preserve">  Students</w:t>
            </w:r>
            <w:proofErr w:type="gramEnd"/>
            <w:r w:rsidR="004911AF" w:rsidRPr="00EF2322">
              <w:rPr>
                <w:rFonts w:asciiTheme="minorHAnsi" w:hAnsiTheme="minorHAnsi"/>
                <w:color w:val="FF0000"/>
                <w:sz w:val="24"/>
                <w:szCs w:val="24"/>
              </w:rPr>
              <w:t xml:space="preserve"> </w:t>
            </w:r>
            <w:r w:rsidR="00D16782" w:rsidRPr="00EF2322">
              <w:rPr>
                <w:rFonts w:asciiTheme="minorHAnsi" w:hAnsiTheme="minorHAnsi"/>
                <w:color w:val="FF0000"/>
                <w:sz w:val="24"/>
                <w:szCs w:val="24"/>
              </w:rPr>
              <w:t>work out the capacities of different everyday containers and record their answers in millilitres and litres</w:t>
            </w:r>
            <w:r w:rsidR="00D16782" w:rsidRPr="00EF2322">
              <w:rPr>
                <w:rFonts w:asciiTheme="minorHAnsi" w:hAnsiTheme="minorHAnsi"/>
                <w:sz w:val="24"/>
                <w:szCs w:val="24"/>
              </w:rPr>
              <w:t xml:space="preserve">. </w:t>
            </w:r>
          </w:p>
        </w:tc>
      </w:tr>
      <w:tr w:rsidR="005A7343" w:rsidRPr="004A4DA4" w14:paraId="3AC2808E"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11E704E1" w14:textId="1A5078C9" w:rsidR="00231A60" w:rsidRPr="00EF2322" w:rsidRDefault="005E1EB8" w:rsidP="00231A60">
            <w:pPr>
              <w:numPr>
                <w:ilvl w:val="0"/>
                <w:numId w:val="27"/>
              </w:numPr>
              <w:shd w:val="clear" w:color="auto" w:fill="FFFFFF"/>
              <w:spacing w:before="100" w:beforeAutospacing="1" w:after="100" w:afterAutospacing="1"/>
              <w:ind w:left="0"/>
              <w:rPr>
                <w:rFonts w:asciiTheme="minorHAnsi" w:hAnsiTheme="minorHAnsi"/>
                <w:color w:val="3E3E40"/>
                <w:sz w:val="24"/>
                <w:szCs w:val="24"/>
              </w:rPr>
            </w:pPr>
            <w:r w:rsidRPr="00EF2322">
              <w:rPr>
                <w:rFonts w:asciiTheme="minorHAnsi" w:hAnsiTheme="minorHAnsi"/>
                <w:sz w:val="24"/>
                <w:szCs w:val="24"/>
              </w:rPr>
              <w:t xml:space="preserve">IWB - </w:t>
            </w:r>
            <w:r w:rsidR="00231A60" w:rsidRPr="00EF2322">
              <w:rPr>
                <w:rFonts w:asciiTheme="minorHAnsi" w:hAnsiTheme="minorHAnsi"/>
                <w:bCs/>
                <w:color w:val="3E3E40"/>
                <w:sz w:val="24"/>
                <w:szCs w:val="24"/>
              </w:rPr>
              <w:t xml:space="preserve">Millilitres and litres: Activity </w:t>
            </w:r>
            <w:r w:rsidR="00D16782" w:rsidRPr="00EF2322">
              <w:rPr>
                <w:rFonts w:asciiTheme="minorHAnsi" w:hAnsiTheme="minorHAnsi"/>
                <w:bCs/>
                <w:color w:val="3E3E40"/>
                <w:sz w:val="24"/>
                <w:szCs w:val="24"/>
              </w:rPr>
              <w:t>4</w:t>
            </w:r>
          </w:p>
          <w:p w14:paraId="4F406728" w14:textId="75F27D29" w:rsidR="005A7343" w:rsidRPr="00EF2322" w:rsidRDefault="00231A60" w:rsidP="00F10A55">
            <w:pPr>
              <w:autoSpaceDE w:val="0"/>
              <w:autoSpaceDN w:val="0"/>
              <w:adjustRightInd w:val="0"/>
              <w:rPr>
                <w:rFonts w:asciiTheme="minorHAnsi" w:hAnsiTheme="minorHAnsi"/>
                <w:sz w:val="24"/>
                <w:szCs w:val="24"/>
              </w:rPr>
            </w:pPr>
            <w:r w:rsidRPr="00EF2322">
              <w:rPr>
                <w:rFonts w:asciiTheme="minorHAnsi" w:hAnsiTheme="minorHAnsi"/>
                <w:sz w:val="24"/>
                <w:szCs w:val="24"/>
              </w:rPr>
              <w:t xml:space="preserve"> </w:t>
            </w:r>
            <w:hyperlink r:id="rId7" w:history="1">
              <w:r w:rsidRPr="00EF2322">
                <w:rPr>
                  <w:rStyle w:val="Hyperlink"/>
                  <w:rFonts w:asciiTheme="minorHAnsi" w:hAnsiTheme="minorHAnsi"/>
                  <w:sz w:val="24"/>
                  <w:szCs w:val="24"/>
                </w:rPr>
                <w:t>http://www.studyladder.com.au/resources/teacher/mathematics?section=40</w:t>
              </w:r>
            </w:hyperlink>
          </w:p>
          <w:p w14:paraId="3555E1C1" w14:textId="13661BAD" w:rsidR="00231A60" w:rsidRPr="00EF2322" w:rsidRDefault="00231A60" w:rsidP="00F10A55">
            <w:pPr>
              <w:autoSpaceDE w:val="0"/>
              <w:autoSpaceDN w:val="0"/>
              <w:adjustRightInd w:val="0"/>
              <w:rPr>
                <w:rFonts w:asciiTheme="minorHAnsi" w:hAnsiTheme="minorHAnsi"/>
                <w:sz w:val="24"/>
                <w:szCs w:val="24"/>
              </w:rPr>
            </w:pPr>
          </w:p>
        </w:tc>
      </w:tr>
      <w:tr w:rsidR="005A7343" w:rsidRPr="004A4DA4" w14:paraId="23467F1E" w14:textId="77777777" w:rsidTr="00CB39EB">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37F36C2D" w14:textId="77777777" w:rsidR="00FC5222" w:rsidRPr="00EF2322" w:rsidRDefault="00F63424" w:rsidP="00F63424">
            <w:pPr>
              <w:rPr>
                <w:rFonts w:asciiTheme="minorHAnsi" w:hAnsiTheme="minorHAnsi" w:cs="Arial"/>
                <w:sz w:val="24"/>
                <w:szCs w:val="24"/>
              </w:rPr>
            </w:pPr>
            <w:r w:rsidRPr="00EF2322">
              <w:rPr>
                <w:rFonts w:asciiTheme="minorHAnsi" w:hAnsiTheme="minorHAnsi" w:cs="Arial"/>
                <w:sz w:val="24"/>
                <w:szCs w:val="24"/>
              </w:rPr>
              <w:t xml:space="preserve">The price of 1 litre of petrol is $2.10. </w:t>
            </w:r>
          </w:p>
          <w:p w14:paraId="112857ED" w14:textId="77777777" w:rsidR="00FC5222" w:rsidRPr="00EF2322" w:rsidRDefault="00F63424" w:rsidP="00F63424">
            <w:pPr>
              <w:rPr>
                <w:rFonts w:asciiTheme="minorHAnsi" w:hAnsiTheme="minorHAnsi" w:cs="Arial"/>
                <w:sz w:val="24"/>
                <w:szCs w:val="24"/>
              </w:rPr>
            </w:pPr>
            <w:r w:rsidRPr="00EF2322">
              <w:rPr>
                <w:rFonts w:asciiTheme="minorHAnsi" w:hAnsiTheme="minorHAnsi" w:cs="Arial"/>
                <w:sz w:val="24"/>
                <w:szCs w:val="24"/>
              </w:rPr>
              <w:t xml:space="preserve">My car has a capacity of 10 litres. </w:t>
            </w:r>
          </w:p>
          <w:p w14:paraId="73D80323" w14:textId="53C1D0C6" w:rsidR="00F63424" w:rsidRPr="00EF2322" w:rsidRDefault="00F63424" w:rsidP="00F63424">
            <w:pPr>
              <w:rPr>
                <w:rFonts w:ascii="Arial" w:hAnsi="Arial" w:cs="Arial"/>
                <w:sz w:val="24"/>
                <w:szCs w:val="24"/>
              </w:rPr>
            </w:pPr>
            <w:r w:rsidRPr="00EF2322">
              <w:rPr>
                <w:rFonts w:asciiTheme="minorHAnsi" w:hAnsiTheme="minorHAnsi" w:cs="Arial"/>
                <w:sz w:val="24"/>
                <w:szCs w:val="24"/>
              </w:rPr>
              <w:t>How much money will it cost me to fill up my car</w:t>
            </w:r>
            <w:r w:rsidRPr="00EF2322">
              <w:rPr>
                <w:rFonts w:ascii="Arial" w:hAnsi="Arial" w:cs="Arial"/>
                <w:sz w:val="24"/>
                <w:szCs w:val="24"/>
              </w:rPr>
              <w:t>?</w:t>
            </w:r>
          </w:p>
          <w:p w14:paraId="7971F164" w14:textId="09640D22" w:rsidR="005A7343" w:rsidRPr="00EF2322" w:rsidRDefault="005A7343" w:rsidP="005D2618">
            <w:pPr>
              <w:pStyle w:val="Heading2"/>
              <w:rPr>
                <w:rFonts w:asciiTheme="minorHAnsi" w:hAnsiTheme="minorHAnsi"/>
                <w:szCs w:val="24"/>
              </w:rPr>
            </w:pP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852C6">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852C6">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9852C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DD1EED4" w14:textId="442FC030" w:rsidR="00FE28E6" w:rsidRDefault="002E649B" w:rsidP="00FE28E6">
            <w:pPr>
              <w:rPr>
                <w:rFonts w:asciiTheme="minorHAnsi" w:hAnsiTheme="minorHAnsi"/>
                <w:sz w:val="24"/>
                <w:szCs w:val="24"/>
              </w:rPr>
            </w:pPr>
            <w:r>
              <w:rPr>
                <w:rFonts w:asciiTheme="minorHAnsi" w:hAnsiTheme="minorHAnsi"/>
                <w:sz w:val="24"/>
                <w:szCs w:val="24"/>
              </w:rPr>
              <w:t>IWB, measuring device calibrated in multiples of 100, containers with different capacities and volumes, cubic centimetre blocks and water.</w:t>
            </w:r>
            <w:r w:rsidR="007A1BC0">
              <w:rPr>
                <w:rFonts w:asciiTheme="minorHAnsi" w:hAnsiTheme="minorHAnsi"/>
                <w:sz w:val="24"/>
                <w:szCs w:val="24"/>
              </w:rPr>
              <w:t xml:space="preserve"> (Pa</w:t>
            </w:r>
            <w:r w:rsidR="00FE28E6">
              <w:rPr>
                <w:rFonts w:asciiTheme="minorHAnsi" w:hAnsiTheme="minorHAnsi"/>
                <w:sz w:val="24"/>
                <w:szCs w:val="24"/>
              </w:rPr>
              <w:t>g</w:t>
            </w:r>
            <w:r w:rsidR="007A1BC0">
              <w:rPr>
                <w:rFonts w:asciiTheme="minorHAnsi" w:hAnsiTheme="minorHAnsi"/>
                <w:sz w:val="24"/>
                <w:szCs w:val="24"/>
              </w:rPr>
              <w:t>e 41- Signpost Maths Assessment Middle P</w:t>
            </w:r>
            <w:r w:rsidR="00FE28E6">
              <w:rPr>
                <w:rFonts w:asciiTheme="minorHAnsi" w:hAnsiTheme="minorHAnsi"/>
                <w:sz w:val="24"/>
                <w:szCs w:val="24"/>
              </w:rPr>
              <w:t>rimary).</w:t>
            </w:r>
          </w:p>
          <w:p w14:paraId="47AC8D3C" w14:textId="1B14F00F" w:rsidR="00FE28E6" w:rsidRPr="004A4DA4" w:rsidRDefault="00FE28E6" w:rsidP="002E649B">
            <w:pPr>
              <w:rPr>
                <w:rFonts w:asciiTheme="minorHAnsi" w:hAnsiTheme="minorHAnsi"/>
                <w:sz w:val="24"/>
                <w:szCs w:val="24"/>
              </w:rPr>
            </w:pP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84C87">
        <w:trPr>
          <w:trHeight w:val="1544"/>
        </w:trPr>
        <w:tc>
          <w:tcPr>
            <w:tcW w:w="3936" w:type="dxa"/>
            <w:vMerge w:val="restart"/>
            <w:tcBorders>
              <w:right w:val="single" w:sz="4" w:space="0" w:color="auto"/>
            </w:tcBorders>
          </w:tcPr>
          <w:p w14:paraId="0E4D08A9" w14:textId="0EC4F999" w:rsidR="001C6A19" w:rsidRPr="00A70D54" w:rsidRDefault="004453D8" w:rsidP="00347E9E">
            <w:pPr>
              <w:pStyle w:val="Heading2"/>
              <w:numPr>
                <w:ilvl w:val="0"/>
                <w:numId w:val="30"/>
              </w:numPr>
              <w:ind w:left="360"/>
              <w:rPr>
                <w:rFonts w:asciiTheme="minorHAnsi" w:hAnsiTheme="minorHAnsi"/>
                <w:b w:val="0"/>
                <w:sz w:val="22"/>
                <w:szCs w:val="22"/>
              </w:rPr>
            </w:pPr>
            <w:r w:rsidRPr="00A70D54">
              <w:rPr>
                <w:rFonts w:asciiTheme="minorHAnsi" w:hAnsiTheme="minorHAnsi"/>
                <w:sz w:val="22"/>
                <w:szCs w:val="22"/>
              </w:rPr>
              <w:t>Explicitly communicate lesson outcomes</w:t>
            </w:r>
            <w:r w:rsidRPr="00A70D54">
              <w:rPr>
                <w:rFonts w:asciiTheme="minorHAnsi" w:hAnsiTheme="minorHAnsi"/>
                <w:b w:val="0"/>
                <w:sz w:val="22"/>
                <w:szCs w:val="22"/>
              </w:rPr>
              <w:t>: Students should be able to</w:t>
            </w:r>
            <w:r w:rsidR="00460F22" w:rsidRPr="00A70D54">
              <w:rPr>
                <w:rFonts w:asciiTheme="minorHAnsi" w:hAnsiTheme="minorHAnsi"/>
                <w:b w:val="0"/>
                <w:sz w:val="22"/>
                <w:szCs w:val="22"/>
              </w:rPr>
              <w:t xml:space="preserve"> accurately measure the capacities of everyday containers</w:t>
            </w:r>
            <w:r w:rsidR="00347E9E" w:rsidRPr="00A70D54">
              <w:rPr>
                <w:rFonts w:asciiTheme="minorHAnsi" w:hAnsiTheme="minorHAnsi"/>
                <w:b w:val="0"/>
                <w:sz w:val="22"/>
                <w:szCs w:val="22"/>
              </w:rPr>
              <w:t>.</w:t>
            </w:r>
          </w:p>
          <w:p w14:paraId="1E9F60EA" w14:textId="77777777" w:rsidR="007D5ABA" w:rsidRPr="00A70D54" w:rsidRDefault="007D5ABA" w:rsidP="00347E9E">
            <w:pPr>
              <w:rPr>
                <w:sz w:val="22"/>
                <w:szCs w:val="22"/>
              </w:rPr>
            </w:pPr>
          </w:p>
          <w:p w14:paraId="487F1041" w14:textId="30DFA4E0" w:rsidR="007D5ABA" w:rsidRPr="00A70D54" w:rsidRDefault="00276AC2" w:rsidP="00347E9E">
            <w:pPr>
              <w:pStyle w:val="ListParagraph"/>
              <w:numPr>
                <w:ilvl w:val="0"/>
                <w:numId w:val="30"/>
              </w:numPr>
              <w:ind w:left="360"/>
              <w:rPr>
                <w:rFonts w:asciiTheme="minorHAnsi" w:hAnsiTheme="minorHAnsi"/>
                <w:sz w:val="22"/>
                <w:szCs w:val="22"/>
              </w:rPr>
            </w:pPr>
            <w:r w:rsidRPr="00A70D54">
              <w:rPr>
                <w:rFonts w:asciiTheme="minorHAnsi" w:hAnsiTheme="minorHAnsi"/>
                <w:b/>
                <w:sz w:val="22"/>
                <w:szCs w:val="22"/>
              </w:rPr>
              <w:t>Teach and review</w:t>
            </w:r>
            <w:r w:rsidR="0016220B" w:rsidRPr="00A70D54">
              <w:rPr>
                <w:rFonts w:asciiTheme="minorHAnsi" w:hAnsiTheme="minorHAnsi"/>
                <w:b/>
                <w:sz w:val="22"/>
                <w:szCs w:val="22"/>
              </w:rPr>
              <w:t>:</w:t>
            </w:r>
            <w:r w:rsidR="008F5C45" w:rsidRPr="00A70D54">
              <w:rPr>
                <w:rFonts w:asciiTheme="minorHAnsi" w:hAnsiTheme="minorHAnsi"/>
                <w:b/>
                <w:sz w:val="22"/>
                <w:szCs w:val="22"/>
              </w:rPr>
              <w:t xml:space="preserve"> </w:t>
            </w:r>
            <w:r w:rsidR="00347E9E" w:rsidRPr="00A70D54">
              <w:rPr>
                <w:rFonts w:asciiTheme="minorHAnsi" w:hAnsiTheme="minorHAnsi"/>
                <w:b/>
                <w:sz w:val="22"/>
                <w:szCs w:val="22"/>
              </w:rPr>
              <w:t xml:space="preserve"> </w:t>
            </w:r>
            <w:r w:rsidR="00460F22" w:rsidRPr="00A70D54">
              <w:rPr>
                <w:rFonts w:asciiTheme="minorHAnsi" w:hAnsiTheme="minorHAnsi"/>
                <w:sz w:val="22"/>
                <w:szCs w:val="22"/>
              </w:rPr>
              <w:t xml:space="preserve">Students </w:t>
            </w:r>
            <w:r w:rsidR="004911AF" w:rsidRPr="00A70D54">
              <w:rPr>
                <w:rFonts w:asciiTheme="minorHAnsi" w:hAnsiTheme="minorHAnsi"/>
                <w:sz w:val="22"/>
                <w:szCs w:val="22"/>
              </w:rPr>
              <w:t>make a li</w:t>
            </w:r>
            <w:r w:rsidR="00347E9E" w:rsidRPr="00A70D54">
              <w:rPr>
                <w:rFonts w:asciiTheme="minorHAnsi" w:hAnsiTheme="minorHAnsi"/>
                <w:sz w:val="22"/>
                <w:szCs w:val="22"/>
              </w:rPr>
              <w:t>tre by pouring 1 L of water fro</w:t>
            </w:r>
            <w:r w:rsidR="004911AF" w:rsidRPr="00A70D54">
              <w:rPr>
                <w:rFonts w:asciiTheme="minorHAnsi" w:hAnsiTheme="minorHAnsi"/>
                <w:sz w:val="22"/>
                <w:szCs w:val="22"/>
              </w:rPr>
              <w:t>m a 500 mL or 1 L jug, into an empty, plastic soft drink bottle. Mark the water level on the bottle with a waterproof marker.</w:t>
            </w:r>
          </w:p>
          <w:p w14:paraId="4D9F67C0" w14:textId="77777777" w:rsidR="007D5ABA" w:rsidRPr="00A70D54" w:rsidRDefault="007D5ABA" w:rsidP="00347E9E">
            <w:pPr>
              <w:rPr>
                <w:rFonts w:asciiTheme="minorHAnsi" w:hAnsiTheme="minorHAnsi"/>
                <w:sz w:val="22"/>
                <w:szCs w:val="22"/>
              </w:rPr>
            </w:pPr>
          </w:p>
          <w:p w14:paraId="775C1E4B" w14:textId="3A28684B" w:rsidR="007D5ABA" w:rsidRPr="00A70D54" w:rsidRDefault="004911AF" w:rsidP="00347E9E">
            <w:pPr>
              <w:pStyle w:val="ListParagraph"/>
              <w:numPr>
                <w:ilvl w:val="0"/>
                <w:numId w:val="30"/>
              </w:numPr>
              <w:ind w:left="360"/>
              <w:rPr>
                <w:rFonts w:asciiTheme="minorHAnsi" w:hAnsiTheme="minorHAnsi"/>
                <w:sz w:val="22"/>
                <w:szCs w:val="22"/>
              </w:rPr>
            </w:pPr>
            <w:r w:rsidRPr="00A70D54">
              <w:rPr>
                <w:rFonts w:asciiTheme="minorHAnsi" w:hAnsiTheme="minorHAnsi"/>
                <w:sz w:val="22"/>
                <w:szCs w:val="22"/>
              </w:rPr>
              <w:t>Challenge students to make a rectangular prism with centimetre blocks.  Ask for a base of twelve blocks and have students complete an array of the first layer. Ask students to add two more layers and volume in cubic centimetres is recorded. Students look at the number pattern of the layers to predict how many blocks will be needed for 5 layers.</w:t>
            </w:r>
          </w:p>
          <w:p w14:paraId="24EA21C1" w14:textId="77777777" w:rsidR="007D5ABA" w:rsidRPr="00A70D54" w:rsidRDefault="007D5ABA" w:rsidP="00347E9E">
            <w:pPr>
              <w:rPr>
                <w:rFonts w:asciiTheme="minorHAnsi" w:hAnsiTheme="minorHAnsi"/>
                <w:sz w:val="22"/>
                <w:szCs w:val="22"/>
              </w:rPr>
            </w:pPr>
          </w:p>
          <w:p w14:paraId="6D135C07" w14:textId="18DF4D28" w:rsidR="008F5C45" w:rsidRPr="00A70D54" w:rsidRDefault="008F5C45" w:rsidP="00A70D54">
            <w:pPr>
              <w:pStyle w:val="ListParagraph"/>
              <w:ind w:left="360"/>
              <w:rPr>
                <w:rFonts w:asciiTheme="minorHAnsi" w:hAnsiTheme="minorHAnsi"/>
                <w:sz w:val="22"/>
                <w:szCs w:val="22"/>
              </w:rPr>
            </w:pPr>
            <w:r w:rsidRPr="00A70D54">
              <w:rPr>
                <w:rFonts w:asciiTheme="minorHAnsi" w:hAnsiTheme="minorHAnsi"/>
                <w:b/>
                <w:sz w:val="22"/>
                <w:szCs w:val="22"/>
              </w:rPr>
              <w:t>Capacity</w:t>
            </w:r>
            <w:r w:rsidRPr="00A70D54">
              <w:rPr>
                <w:rFonts w:asciiTheme="minorHAnsi" w:hAnsiTheme="minorHAnsi"/>
                <w:sz w:val="22"/>
                <w:szCs w:val="22"/>
              </w:rPr>
              <w:t xml:space="preserve"> </w:t>
            </w:r>
            <w:r w:rsidR="00761898" w:rsidRPr="00A70D54">
              <w:rPr>
                <w:rFonts w:asciiTheme="minorHAnsi" w:hAnsiTheme="minorHAnsi"/>
                <w:sz w:val="22"/>
                <w:szCs w:val="22"/>
              </w:rPr>
              <w:t xml:space="preserve">can be measured in millilitres (mL) and/or litres (L). </w:t>
            </w:r>
          </w:p>
          <w:p w14:paraId="15484A73" w14:textId="0922E6AB" w:rsidR="00761898" w:rsidRDefault="007A1BC0" w:rsidP="00A70D54">
            <w:pPr>
              <w:pStyle w:val="ListParagraph"/>
              <w:ind w:left="360"/>
              <w:rPr>
                <w:rFonts w:asciiTheme="minorHAnsi" w:hAnsiTheme="minorHAnsi"/>
                <w:sz w:val="22"/>
                <w:szCs w:val="22"/>
              </w:rPr>
            </w:pPr>
            <w:r w:rsidRPr="00A70D54">
              <w:rPr>
                <w:rFonts w:asciiTheme="minorHAnsi" w:hAnsiTheme="minorHAnsi"/>
                <w:b/>
                <w:sz w:val="22"/>
                <w:szCs w:val="22"/>
              </w:rPr>
              <w:t xml:space="preserve">Volume </w:t>
            </w:r>
            <w:r w:rsidRPr="00A70D54">
              <w:rPr>
                <w:rFonts w:asciiTheme="minorHAnsi" w:hAnsiTheme="minorHAnsi"/>
                <w:sz w:val="22"/>
                <w:szCs w:val="22"/>
              </w:rPr>
              <w:t>can be mea</w:t>
            </w:r>
            <w:r w:rsidR="004911AF" w:rsidRPr="00A70D54">
              <w:rPr>
                <w:rFonts w:asciiTheme="minorHAnsi" w:hAnsiTheme="minorHAnsi"/>
                <w:sz w:val="22"/>
                <w:szCs w:val="22"/>
              </w:rPr>
              <w:t>sured in cubic centimetres and cubic metres</w:t>
            </w:r>
            <w:r w:rsidRPr="00A70D54">
              <w:rPr>
                <w:rFonts w:asciiTheme="minorHAnsi" w:hAnsiTheme="minorHAnsi"/>
                <w:sz w:val="22"/>
                <w:szCs w:val="22"/>
              </w:rPr>
              <w:t>.</w:t>
            </w:r>
          </w:p>
          <w:p w14:paraId="7E62B077" w14:textId="77777777" w:rsidR="00A70D54" w:rsidRPr="00A70D54" w:rsidRDefault="00A70D54" w:rsidP="00A70D54">
            <w:pPr>
              <w:pStyle w:val="ListParagraph"/>
              <w:ind w:left="360"/>
              <w:rPr>
                <w:rFonts w:asciiTheme="minorHAnsi" w:hAnsiTheme="minorHAnsi"/>
                <w:sz w:val="22"/>
                <w:szCs w:val="22"/>
              </w:rPr>
            </w:pPr>
          </w:p>
          <w:p w14:paraId="0595B3CA" w14:textId="432CBFC1" w:rsidR="00FE28E6" w:rsidRPr="00347E9E" w:rsidRDefault="00761898" w:rsidP="00347E9E">
            <w:pPr>
              <w:pStyle w:val="ListParagraph"/>
              <w:numPr>
                <w:ilvl w:val="0"/>
                <w:numId w:val="30"/>
              </w:numPr>
              <w:ind w:left="360"/>
              <w:rPr>
                <w:rFonts w:asciiTheme="minorHAnsi" w:hAnsiTheme="minorHAnsi"/>
                <w:sz w:val="24"/>
                <w:szCs w:val="24"/>
              </w:rPr>
            </w:pPr>
            <w:r w:rsidRPr="00A70D54">
              <w:rPr>
                <w:rFonts w:asciiTheme="minorHAnsi" w:hAnsiTheme="minorHAnsi"/>
                <w:b/>
                <w:sz w:val="22"/>
                <w:szCs w:val="22"/>
              </w:rPr>
              <w:t>Define and reinforce metalanguage:</w:t>
            </w:r>
            <w:r w:rsidRPr="00A70D54">
              <w:rPr>
                <w:rFonts w:asciiTheme="minorHAnsi" w:hAnsiTheme="minorHAnsi"/>
                <w:sz w:val="22"/>
                <w:szCs w:val="22"/>
              </w:rPr>
              <w:t xml:space="preserve"> capacity, container, volume, measure, estimate, </w:t>
            </w:r>
            <w:proofErr w:type="gramStart"/>
            <w:r w:rsidRPr="00A70D54">
              <w:rPr>
                <w:rFonts w:asciiTheme="minorHAnsi" w:hAnsiTheme="minorHAnsi"/>
                <w:sz w:val="22"/>
                <w:szCs w:val="22"/>
              </w:rPr>
              <w:t>full</w:t>
            </w:r>
            <w:proofErr w:type="gramEnd"/>
            <w:r w:rsidRPr="00A70D54">
              <w:rPr>
                <w:rFonts w:asciiTheme="minorHAnsi" w:hAnsiTheme="minorHAnsi"/>
                <w:sz w:val="22"/>
                <w:szCs w:val="22"/>
              </w:rPr>
              <w:t>, empty, liquid.</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4E220809" w14:textId="77777777" w:rsidR="00A70D54" w:rsidRDefault="003771D9" w:rsidP="003771D9">
            <w:pPr>
              <w:pStyle w:val="ListParagraph"/>
              <w:numPr>
                <w:ilvl w:val="0"/>
                <w:numId w:val="30"/>
              </w:numPr>
              <w:rPr>
                <w:rFonts w:asciiTheme="minorHAnsi" w:hAnsiTheme="minorHAnsi"/>
                <w:b/>
                <w:sz w:val="24"/>
                <w:szCs w:val="24"/>
              </w:rPr>
            </w:pPr>
            <w:r w:rsidRPr="00A70D54">
              <w:rPr>
                <w:rFonts w:asciiTheme="minorHAnsi" w:hAnsiTheme="minorHAnsi"/>
                <w:b/>
                <w:sz w:val="24"/>
                <w:szCs w:val="24"/>
              </w:rPr>
              <w:t>Different Cups</w:t>
            </w:r>
          </w:p>
          <w:p w14:paraId="19DB8B04" w14:textId="47378B2C" w:rsidR="001C6A19" w:rsidRPr="00A70D54" w:rsidRDefault="003771D9" w:rsidP="00A70D54">
            <w:pPr>
              <w:pStyle w:val="ListParagraph"/>
              <w:rPr>
                <w:rFonts w:asciiTheme="minorHAnsi" w:hAnsiTheme="minorHAnsi"/>
                <w:b/>
                <w:sz w:val="24"/>
                <w:szCs w:val="24"/>
              </w:rPr>
            </w:pPr>
            <w:r w:rsidRPr="00A70D54">
              <w:rPr>
                <w:rFonts w:asciiTheme="minorHAnsi" w:hAnsiTheme="minorHAnsi"/>
                <w:sz w:val="24"/>
                <w:szCs w:val="24"/>
              </w:rPr>
              <w:t xml:space="preserve">The teacher collects cups of different shapes and sizes and ice cream containers of the same size. Each pair of students has a different cup and an ice cream container. </w:t>
            </w:r>
            <w:r w:rsidR="00A70D54">
              <w:rPr>
                <w:rFonts w:asciiTheme="minorHAnsi" w:hAnsiTheme="minorHAnsi"/>
                <w:sz w:val="24"/>
                <w:szCs w:val="24"/>
              </w:rPr>
              <w:t xml:space="preserve"> </w:t>
            </w:r>
            <w:r w:rsidRPr="003771D9">
              <w:rPr>
                <w:rFonts w:asciiTheme="minorHAnsi" w:hAnsiTheme="minorHAnsi"/>
                <w:sz w:val="24"/>
                <w:szCs w:val="24"/>
              </w:rPr>
              <w:t>Students are asked to fill the ice cream container with water u</w:t>
            </w:r>
            <w:r>
              <w:rPr>
                <w:rFonts w:asciiTheme="minorHAnsi" w:hAnsiTheme="minorHAnsi"/>
                <w:sz w:val="24"/>
                <w:szCs w:val="24"/>
              </w:rPr>
              <w:t xml:space="preserve">sing repeated </w:t>
            </w:r>
            <w:proofErr w:type="spellStart"/>
            <w:r>
              <w:rPr>
                <w:rFonts w:asciiTheme="minorHAnsi" w:hAnsiTheme="minorHAnsi"/>
                <w:sz w:val="24"/>
                <w:szCs w:val="24"/>
              </w:rPr>
              <w:t>cupfuls</w:t>
            </w:r>
            <w:proofErr w:type="spellEnd"/>
            <w:r>
              <w:rPr>
                <w:rFonts w:asciiTheme="minorHAnsi" w:hAnsiTheme="minorHAnsi"/>
                <w:sz w:val="24"/>
                <w:szCs w:val="24"/>
              </w:rPr>
              <w:t xml:space="preserve"> </w:t>
            </w:r>
            <w:r w:rsidRPr="003771D9">
              <w:rPr>
                <w:rFonts w:asciiTheme="minorHAnsi" w:hAnsiTheme="minorHAnsi"/>
                <w:sz w:val="24"/>
                <w:szCs w:val="24"/>
              </w:rPr>
              <w:t>and record how many cups it took to fill the container.</w:t>
            </w:r>
          </w:p>
        </w:tc>
      </w:tr>
      <w:tr w:rsidR="001C6A19" w:rsidRPr="004A4DA4" w14:paraId="3552F0D4" w14:textId="1670C5DD" w:rsidTr="0016220B">
        <w:trPr>
          <w:trHeight w:val="4404"/>
        </w:trPr>
        <w:tc>
          <w:tcPr>
            <w:tcW w:w="3936" w:type="dxa"/>
            <w:vMerge/>
            <w:tcBorders>
              <w:right w:val="single" w:sz="4" w:space="0" w:color="auto"/>
            </w:tcBorders>
          </w:tcPr>
          <w:p w14:paraId="1B9B11E8" w14:textId="1B5965E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93C9538"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14:paraId="45572992" w14:textId="73035E5B" w:rsidR="001C01DE" w:rsidRPr="00A70D54" w:rsidRDefault="00B84C87" w:rsidP="00A70D54">
            <w:pPr>
              <w:pStyle w:val="ListParagraph"/>
              <w:numPr>
                <w:ilvl w:val="0"/>
                <w:numId w:val="30"/>
              </w:numPr>
              <w:rPr>
                <w:rFonts w:asciiTheme="minorHAnsi" w:hAnsiTheme="minorHAnsi"/>
                <w:sz w:val="24"/>
                <w:szCs w:val="24"/>
              </w:rPr>
            </w:pPr>
            <w:r w:rsidRPr="00A70D54">
              <w:rPr>
                <w:rFonts w:asciiTheme="minorHAnsi" w:hAnsiTheme="minorHAnsi"/>
                <w:b/>
                <w:sz w:val="24"/>
                <w:szCs w:val="24"/>
              </w:rPr>
              <w:t>Brainstorming:</w:t>
            </w:r>
            <w:r w:rsidRPr="00A70D54">
              <w:rPr>
                <w:rFonts w:asciiTheme="minorHAnsi" w:hAnsiTheme="minorHAnsi"/>
                <w:sz w:val="24"/>
                <w:szCs w:val="24"/>
              </w:rPr>
              <w:t xml:space="preserve"> </w:t>
            </w:r>
            <w:r w:rsidR="000A08BB" w:rsidRPr="00A70D54">
              <w:rPr>
                <w:rFonts w:asciiTheme="minorHAnsi" w:hAnsiTheme="minorHAnsi"/>
                <w:sz w:val="24"/>
                <w:szCs w:val="24"/>
              </w:rPr>
              <w:t xml:space="preserve">Ask students to discuss in groups what happens when you submerge an object in a container? Ask the question is it possible to compare the volumes of objects by submerging them? How?  </w:t>
            </w:r>
          </w:p>
          <w:p w14:paraId="4AB5A756" w14:textId="77777777" w:rsidR="00A70D54" w:rsidRDefault="006F775D" w:rsidP="00A70D54">
            <w:pPr>
              <w:pStyle w:val="ListParagraph"/>
              <w:numPr>
                <w:ilvl w:val="0"/>
                <w:numId w:val="30"/>
              </w:numPr>
              <w:rPr>
                <w:rFonts w:asciiTheme="minorHAnsi" w:hAnsiTheme="minorHAnsi"/>
                <w:sz w:val="24"/>
                <w:szCs w:val="24"/>
              </w:rPr>
            </w:pPr>
            <w:r w:rsidRPr="00A70D54">
              <w:rPr>
                <w:rFonts w:asciiTheme="minorHAnsi" w:hAnsiTheme="minorHAnsi"/>
                <w:b/>
                <w:sz w:val="24"/>
                <w:szCs w:val="24"/>
              </w:rPr>
              <w:t>Kinaesth</w:t>
            </w:r>
            <w:r w:rsidR="00B84C87" w:rsidRPr="00A70D54">
              <w:rPr>
                <w:rFonts w:asciiTheme="minorHAnsi" w:hAnsiTheme="minorHAnsi"/>
                <w:b/>
                <w:sz w:val="24"/>
                <w:szCs w:val="24"/>
              </w:rPr>
              <w:t>et</w:t>
            </w:r>
            <w:r w:rsidRPr="00A70D54">
              <w:rPr>
                <w:rFonts w:asciiTheme="minorHAnsi" w:hAnsiTheme="minorHAnsi"/>
                <w:b/>
                <w:sz w:val="24"/>
                <w:szCs w:val="24"/>
              </w:rPr>
              <w:t>ic challenge</w:t>
            </w:r>
            <w:r w:rsidRPr="00A70D54">
              <w:rPr>
                <w:rFonts w:asciiTheme="minorHAnsi" w:hAnsiTheme="minorHAnsi"/>
                <w:sz w:val="24"/>
                <w:szCs w:val="24"/>
              </w:rPr>
              <w:t xml:space="preserve">: </w:t>
            </w:r>
            <w:r w:rsidR="000A08BB" w:rsidRPr="00A70D54">
              <w:rPr>
                <w:rFonts w:asciiTheme="minorHAnsi" w:hAnsiTheme="minorHAnsi"/>
                <w:sz w:val="24"/>
                <w:szCs w:val="24"/>
              </w:rPr>
              <w:t xml:space="preserve"> Students work in pairs or small groups to compare the volumes of objects by submerging them in a container. Have students put water in a container and mark the water level, then ask them to submerge an object and mark the ne</w:t>
            </w:r>
            <w:r w:rsidR="005E57D1" w:rsidRPr="00A70D54">
              <w:rPr>
                <w:rFonts w:asciiTheme="minorHAnsi" w:hAnsiTheme="minorHAnsi"/>
                <w:sz w:val="24"/>
                <w:szCs w:val="24"/>
              </w:rPr>
              <w:t>w water level on the container. Students then measure the distance between the first water level and the new water level. Discuss results. Repeat with different objects. Estimate the change in water level of objects before submerging them.</w:t>
            </w:r>
          </w:p>
          <w:p w14:paraId="21FD21BD" w14:textId="35E16B14" w:rsidR="001C01DE" w:rsidRPr="00A70D54" w:rsidRDefault="00FE28E6" w:rsidP="00A70D54">
            <w:pPr>
              <w:pStyle w:val="ListParagraph"/>
              <w:numPr>
                <w:ilvl w:val="0"/>
                <w:numId w:val="30"/>
              </w:numPr>
              <w:rPr>
                <w:rFonts w:asciiTheme="minorHAnsi" w:hAnsiTheme="minorHAnsi"/>
                <w:sz w:val="24"/>
                <w:szCs w:val="24"/>
              </w:rPr>
            </w:pPr>
            <w:r w:rsidRPr="00A70D54">
              <w:rPr>
                <w:rFonts w:asciiTheme="minorHAnsi" w:hAnsiTheme="minorHAnsi"/>
                <w:b/>
                <w:sz w:val="24"/>
                <w:szCs w:val="24"/>
              </w:rPr>
              <w:t>Investigation</w:t>
            </w:r>
            <w:r w:rsidR="005E57D1" w:rsidRPr="00A70D54">
              <w:rPr>
                <w:rFonts w:asciiTheme="minorHAnsi" w:hAnsiTheme="minorHAnsi"/>
                <w:sz w:val="24"/>
                <w:szCs w:val="24"/>
              </w:rPr>
              <w:t xml:space="preserve">: Students work in pairs and fill a container to the brim with water. Place a bowl or bucket underneath the container to catch any excess water when objects are submerged. Measure the overflow of water in millilitres when an object is submerged in the container. </w:t>
            </w:r>
          </w:p>
          <w:p w14:paraId="7F63659B" w14:textId="1C366627" w:rsidR="005E57D1" w:rsidRPr="00A70D54" w:rsidRDefault="00E126FF" w:rsidP="00A70D54">
            <w:pPr>
              <w:pStyle w:val="ListParagraph"/>
              <w:numPr>
                <w:ilvl w:val="0"/>
                <w:numId w:val="30"/>
              </w:numPr>
              <w:rPr>
                <w:rFonts w:asciiTheme="minorHAnsi" w:hAnsiTheme="minorHAnsi"/>
                <w:b/>
                <w:sz w:val="24"/>
                <w:szCs w:val="24"/>
              </w:rPr>
            </w:pPr>
            <w:r w:rsidRPr="00A70D54">
              <w:rPr>
                <w:rFonts w:asciiTheme="minorHAnsi" w:hAnsiTheme="minorHAnsi"/>
                <w:b/>
                <w:color w:val="FF0000"/>
                <w:sz w:val="24"/>
                <w:szCs w:val="24"/>
              </w:rPr>
              <w:t xml:space="preserve">Assessment – </w:t>
            </w:r>
            <w:r w:rsidR="001C01DE" w:rsidRPr="00A70D54">
              <w:rPr>
                <w:rFonts w:asciiTheme="minorHAnsi" w:hAnsiTheme="minorHAnsi"/>
                <w:color w:val="FF0000"/>
                <w:sz w:val="24"/>
                <w:szCs w:val="24"/>
              </w:rPr>
              <w:t xml:space="preserve">Students are presented with a large group of containers of various sizes and shapes. Students choose a </w:t>
            </w:r>
            <w:proofErr w:type="gramStart"/>
            <w:r w:rsidR="001C01DE" w:rsidRPr="00A70D54">
              <w:rPr>
                <w:rFonts w:asciiTheme="minorHAnsi" w:hAnsiTheme="minorHAnsi"/>
                <w:color w:val="FF0000"/>
                <w:sz w:val="24"/>
                <w:szCs w:val="24"/>
              </w:rPr>
              <w:t>container which they estimate</w:t>
            </w:r>
            <w:proofErr w:type="gramEnd"/>
            <w:r w:rsidR="001C01DE" w:rsidRPr="00A70D54">
              <w:rPr>
                <w:rFonts w:asciiTheme="minorHAnsi" w:hAnsiTheme="minorHAnsi"/>
                <w:color w:val="FF0000"/>
                <w:sz w:val="24"/>
                <w:szCs w:val="24"/>
              </w:rPr>
              <w:t xml:space="preserve"> will have a capacity of one litre. Students measure the capacity of their chosen container by using a litre measure, and record as more than 1 L, exactly 1 L, less than 1 L</w:t>
            </w:r>
            <w:r w:rsidR="001C01DE" w:rsidRPr="00A70D54">
              <w:rPr>
                <w:rFonts w:asciiTheme="minorHAnsi" w:hAnsiTheme="minorHAnsi"/>
                <w:sz w:val="24"/>
                <w:szCs w:val="24"/>
              </w:rPr>
              <w:t xml:space="preserve">. </w:t>
            </w:r>
          </w:p>
        </w:tc>
      </w:tr>
      <w:tr w:rsidR="001C6A19" w:rsidRPr="004A4DA4" w14:paraId="59210916" w14:textId="233DDF99" w:rsidTr="00B84C87">
        <w:trPr>
          <w:trHeight w:val="1528"/>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10F994A9" w14:textId="77777777" w:rsidR="00786FFE" w:rsidRPr="00862BA3" w:rsidRDefault="00786FFE" w:rsidP="00862BA3">
            <w:pPr>
              <w:pStyle w:val="ListParagraph"/>
              <w:numPr>
                <w:ilvl w:val="0"/>
                <w:numId w:val="31"/>
              </w:numPr>
              <w:rPr>
                <w:rFonts w:asciiTheme="minorHAnsi" w:hAnsiTheme="minorHAnsi"/>
                <w:sz w:val="24"/>
                <w:szCs w:val="24"/>
              </w:rPr>
            </w:pPr>
            <w:r w:rsidRPr="00862BA3">
              <w:rPr>
                <w:rFonts w:asciiTheme="minorHAnsi" w:hAnsiTheme="minorHAnsi"/>
                <w:sz w:val="24"/>
                <w:szCs w:val="24"/>
              </w:rPr>
              <w:t xml:space="preserve">Students individually construct a prism using 24 </w:t>
            </w:r>
            <w:proofErr w:type="spellStart"/>
            <w:r w:rsidRPr="00862BA3">
              <w:rPr>
                <w:rFonts w:asciiTheme="minorHAnsi" w:hAnsiTheme="minorHAnsi"/>
                <w:sz w:val="24"/>
                <w:szCs w:val="24"/>
              </w:rPr>
              <w:t>centicubes</w:t>
            </w:r>
            <w:proofErr w:type="spellEnd"/>
            <w:r w:rsidRPr="00862BA3">
              <w:rPr>
                <w:rFonts w:asciiTheme="minorHAnsi" w:hAnsiTheme="minorHAnsi"/>
                <w:sz w:val="24"/>
                <w:szCs w:val="24"/>
              </w:rPr>
              <w:t xml:space="preserve">. No other instructions are given, except that all </w:t>
            </w:r>
            <w:proofErr w:type="spellStart"/>
            <w:r w:rsidRPr="00862BA3">
              <w:rPr>
                <w:rFonts w:asciiTheme="minorHAnsi" w:hAnsiTheme="minorHAnsi"/>
                <w:sz w:val="24"/>
                <w:szCs w:val="24"/>
              </w:rPr>
              <w:t>centicubes</w:t>
            </w:r>
            <w:proofErr w:type="spellEnd"/>
            <w:r w:rsidRPr="00862BA3">
              <w:rPr>
                <w:rFonts w:asciiTheme="minorHAnsi" w:hAnsiTheme="minorHAnsi"/>
                <w:sz w:val="24"/>
                <w:szCs w:val="24"/>
              </w:rPr>
              <w:t xml:space="preserve"> must be used. Students share their construction and discuss the differences in design. Discuss: Do they all have the same volume?</w:t>
            </w:r>
          </w:p>
          <w:p w14:paraId="17B7C6D4" w14:textId="6A07EC3D" w:rsidR="001C6A19" w:rsidRPr="00862BA3" w:rsidRDefault="00786FFE" w:rsidP="00862BA3">
            <w:pPr>
              <w:pStyle w:val="ListParagraph"/>
              <w:numPr>
                <w:ilvl w:val="0"/>
                <w:numId w:val="31"/>
              </w:numPr>
              <w:rPr>
                <w:rFonts w:asciiTheme="minorHAnsi" w:hAnsiTheme="minorHAnsi"/>
                <w:sz w:val="24"/>
                <w:szCs w:val="24"/>
              </w:rPr>
            </w:pPr>
            <w:r w:rsidRPr="00862BA3">
              <w:rPr>
                <w:rFonts w:asciiTheme="minorHAnsi" w:hAnsiTheme="minorHAnsi"/>
                <w:b/>
                <w:sz w:val="24"/>
                <w:szCs w:val="24"/>
              </w:rPr>
              <w:t xml:space="preserve">3D Boxes: </w:t>
            </w:r>
            <w:r w:rsidRPr="00862BA3">
              <w:rPr>
                <w:rFonts w:asciiTheme="minorHAnsi" w:hAnsiTheme="minorHAnsi"/>
                <w:sz w:val="24"/>
                <w:szCs w:val="24"/>
              </w:rPr>
              <w:t xml:space="preserve">Students calculate how many cubes they would need to make the rectangular prism displayed </w:t>
            </w:r>
            <w:hyperlink r:id="rId8" w:history="1">
              <w:r w:rsidRPr="00862BA3">
                <w:rPr>
                  <w:rStyle w:val="Hyperlink"/>
                  <w:rFonts w:asciiTheme="minorHAnsi" w:hAnsiTheme="minorHAnsi"/>
                  <w:sz w:val="24"/>
                  <w:szCs w:val="24"/>
                </w:rPr>
                <w:t>http://www.interactivestuff.org/sums4fun/3dboxes.html</w:t>
              </w:r>
            </w:hyperlink>
            <w:r w:rsidRPr="00862BA3">
              <w:rPr>
                <w:rFonts w:asciiTheme="minorHAnsi" w:hAnsiTheme="minorHAnsi"/>
                <w:sz w:val="24"/>
                <w:szCs w:val="24"/>
              </w:rPr>
              <w:t xml:space="preserve"> </w:t>
            </w:r>
          </w:p>
        </w:tc>
      </w:tr>
      <w:tr w:rsidR="001C6A19" w:rsidRPr="004A4DA4" w14:paraId="7076240C" w14:textId="0053691E" w:rsidTr="0016220B">
        <w:trPr>
          <w:trHeight w:val="7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18C85A2B" w:rsidR="001C6A19" w:rsidRPr="004A4DA4" w:rsidRDefault="00B84C87" w:rsidP="00520774">
            <w:pPr>
              <w:rPr>
                <w:rFonts w:asciiTheme="minorHAnsi" w:hAnsiTheme="minorHAnsi"/>
                <w:sz w:val="24"/>
                <w:szCs w:val="24"/>
              </w:rPr>
            </w:pPr>
            <w:r>
              <w:rPr>
                <w:rFonts w:asciiTheme="minorHAnsi" w:hAnsiTheme="minorHAnsi"/>
                <w:sz w:val="24"/>
                <w:szCs w:val="24"/>
              </w:rPr>
              <w:t>Where the students engaged? Where resources appropriate? Did students achieve outcomes? What follow up is recommended?</w:t>
            </w:r>
          </w:p>
        </w:tc>
      </w:tr>
    </w:tbl>
    <w:p w14:paraId="7F217419" w14:textId="17ADEC3A"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E40"/>
    <w:multiLevelType w:val="hybridMultilevel"/>
    <w:tmpl w:val="B110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246CC"/>
    <w:multiLevelType w:val="multilevel"/>
    <w:tmpl w:val="A610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7AE35CB"/>
    <w:multiLevelType w:val="multilevel"/>
    <w:tmpl w:val="E54C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C26F8"/>
    <w:multiLevelType w:val="hybridMultilevel"/>
    <w:tmpl w:val="5EE8752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957FF1"/>
    <w:multiLevelType w:val="multilevel"/>
    <w:tmpl w:val="4174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8E5A60"/>
    <w:multiLevelType w:val="multilevel"/>
    <w:tmpl w:val="A56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EB287E"/>
    <w:multiLevelType w:val="hybridMultilevel"/>
    <w:tmpl w:val="34CA8714"/>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D5948"/>
    <w:multiLevelType w:val="multilevel"/>
    <w:tmpl w:val="BA4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0F84E01"/>
    <w:multiLevelType w:val="multilevel"/>
    <w:tmpl w:val="6BFE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76FFD"/>
    <w:multiLevelType w:val="multilevel"/>
    <w:tmpl w:val="341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F8206D"/>
    <w:multiLevelType w:val="hybridMultilevel"/>
    <w:tmpl w:val="9C64537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B3923"/>
    <w:multiLevelType w:val="multilevel"/>
    <w:tmpl w:val="71A0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A643D4"/>
    <w:multiLevelType w:val="hybridMultilevel"/>
    <w:tmpl w:val="E25ED6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D75411"/>
    <w:multiLevelType w:val="multilevel"/>
    <w:tmpl w:val="B57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4"/>
  </w:num>
  <w:num w:numId="4">
    <w:abstractNumId w:val="10"/>
  </w:num>
  <w:num w:numId="5">
    <w:abstractNumId w:val="5"/>
  </w:num>
  <w:num w:numId="6">
    <w:abstractNumId w:val="3"/>
  </w:num>
  <w:num w:numId="7">
    <w:abstractNumId w:val="15"/>
  </w:num>
  <w:num w:numId="8">
    <w:abstractNumId w:val="31"/>
  </w:num>
  <w:num w:numId="9">
    <w:abstractNumId w:val="13"/>
  </w:num>
  <w:num w:numId="10">
    <w:abstractNumId w:val="21"/>
  </w:num>
  <w:num w:numId="11">
    <w:abstractNumId w:val="12"/>
  </w:num>
  <w:num w:numId="12">
    <w:abstractNumId w:val="30"/>
  </w:num>
  <w:num w:numId="13">
    <w:abstractNumId w:val="8"/>
  </w:num>
  <w:num w:numId="14">
    <w:abstractNumId w:val="4"/>
  </w:num>
  <w:num w:numId="15">
    <w:abstractNumId w:val="17"/>
  </w:num>
  <w:num w:numId="16">
    <w:abstractNumId w:val="7"/>
  </w:num>
  <w:num w:numId="17">
    <w:abstractNumId w:val="11"/>
  </w:num>
  <w:num w:numId="18">
    <w:abstractNumId w:val="29"/>
  </w:num>
  <w:num w:numId="19">
    <w:abstractNumId w:val="16"/>
  </w:num>
  <w:num w:numId="20">
    <w:abstractNumId w:val="1"/>
  </w:num>
  <w:num w:numId="21">
    <w:abstractNumId w:val="23"/>
  </w:num>
  <w:num w:numId="22">
    <w:abstractNumId w:val="6"/>
  </w:num>
  <w:num w:numId="23">
    <w:abstractNumId w:val="26"/>
  </w:num>
  <w:num w:numId="24">
    <w:abstractNumId w:val="28"/>
  </w:num>
  <w:num w:numId="25">
    <w:abstractNumId w:val="19"/>
  </w:num>
  <w:num w:numId="26">
    <w:abstractNumId w:val="22"/>
  </w:num>
  <w:num w:numId="27">
    <w:abstractNumId w:val="14"/>
  </w:num>
  <w:num w:numId="28">
    <w:abstractNumId w:val="18"/>
  </w:num>
  <w:num w:numId="29">
    <w:abstractNumId w:val="27"/>
  </w:num>
  <w:num w:numId="30">
    <w:abstractNumId w:val="2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4281E"/>
    <w:rsid w:val="00052DA9"/>
    <w:rsid w:val="00081A4D"/>
    <w:rsid w:val="000834D3"/>
    <w:rsid w:val="00085889"/>
    <w:rsid w:val="000976A5"/>
    <w:rsid w:val="000A08BB"/>
    <w:rsid w:val="000A54BD"/>
    <w:rsid w:val="000B4717"/>
    <w:rsid w:val="000C4175"/>
    <w:rsid w:val="000D5733"/>
    <w:rsid w:val="0010795F"/>
    <w:rsid w:val="001131C6"/>
    <w:rsid w:val="00116C60"/>
    <w:rsid w:val="00122922"/>
    <w:rsid w:val="001357A6"/>
    <w:rsid w:val="001451A1"/>
    <w:rsid w:val="001567C2"/>
    <w:rsid w:val="0016220B"/>
    <w:rsid w:val="001717B7"/>
    <w:rsid w:val="001B73B3"/>
    <w:rsid w:val="001B7956"/>
    <w:rsid w:val="001C01DE"/>
    <w:rsid w:val="001C41CA"/>
    <w:rsid w:val="001C6A19"/>
    <w:rsid w:val="001E5BDE"/>
    <w:rsid w:val="001F0A11"/>
    <w:rsid w:val="00204DB1"/>
    <w:rsid w:val="00210BA1"/>
    <w:rsid w:val="0022220D"/>
    <w:rsid w:val="00231A60"/>
    <w:rsid w:val="00262977"/>
    <w:rsid w:val="002650AE"/>
    <w:rsid w:val="00276AC2"/>
    <w:rsid w:val="002A32F4"/>
    <w:rsid w:val="002B3979"/>
    <w:rsid w:val="002E2AC1"/>
    <w:rsid w:val="002E649B"/>
    <w:rsid w:val="00347E9E"/>
    <w:rsid w:val="003771D9"/>
    <w:rsid w:val="003A116E"/>
    <w:rsid w:val="003F5FE9"/>
    <w:rsid w:val="00403F6E"/>
    <w:rsid w:val="00443B37"/>
    <w:rsid w:val="004453D8"/>
    <w:rsid w:val="00460F22"/>
    <w:rsid w:val="00462444"/>
    <w:rsid w:val="004677AD"/>
    <w:rsid w:val="004911AF"/>
    <w:rsid w:val="004A4DA4"/>
    <w:rsid w:val="004B2453"/>
    <w:rsid w:val="004B76C4"/>
    <w:rsid w:val="004D1266"/>
    <w:rsid w:val="00520774"/>
    <w:rsid w:val="00521B3A"/>
    <w:rsid w:val="0053162C"/>
    <w:rsid w:val="00535872"/>
    <w:rsid w:val="0057006E"/>
    <w:rsid w:val="00571856"/>
    <w:rsid w:val="00571ECB"/>
    <w:rsid w:val="00575B6D"/>
    <w:rsid w:val="005A7343"/>
    <w:rsid w:val="005D2618"/>
    <w:rsid w:val="005E1EB8"/>
    <w:rsid w:val="005E57D1"/>
    <w:rsid w:val="00600AC9"/>
    <w:rsid w:val="00633BA7"/>
    <w:rsid w:val="00637574"/>
    <w:rsid w:val="006466C1"/>
    <w:rsid w:val="00680818"/>
    <w:rsid w:val="00691A0B"/>
    <w:rsid w:val="006B1724"/>
    <w:rsid w:val="006D1864"/>
    <w:rsid w:val="006E7517"/>
    <w:rsid w:val="006F775D"/>
    <w:rsid w:val="00733014"/>
    <w:rsid w:val="00761898"/>
    <w:rsid w:val="00775B6D"/>
    <w:rsid w:val="00786FFE"/>
    <w:rsid w:val="0079079B"/>
    <w:rsid w:val="00793C14"/>
    <w:rsid w:val="007A1BC0"/>
    <w:rsid w:val="007A1EA1"/>
    <w:rsid w:val="007A222F"/>
    <w:rsid w:val="007B5CD2"/>
    <w:rsid w:val="007C50E5"/>
    <w:rsid w:val="007C64FA"/>
    <w:rsid w:val="007D5ABA"/>
    <w:rsid w:val="007E3C19"/>
    <w:rsid w:val="007E4125"/>
    <w:rsid w:val="007F31F4"/>
    <w:rsid w:val="00803F1E"/>
    <w:rsid w:val="00816899"/>
    <w:rsid w:val="008442F2"/>
    <w:rsid w:val="00845A5B"/>
    <w:rsid w:val="00862BA3"/>
    <w:rsid w:val="00877309"/>
    <w:rsid w:val="0088150C"/>
    <w:rsid w:val="00894E64"/>
    <w:rsid w:val="008B7ED5"/>
    <w:rsid w:val="008C7B62"/>
    <w:rsid w:val="008D14CF"/>
    <w:rsid w:val="008D520D"/>
    <w:rsid w:val="008F4588"/>
    <w:rsid w:val="008F5C45"/>
    <w:rsid w:val="009138EC"/>
    <w:rsid w:val="00925DF8"/>
    <w:rsid w:val="00932461"/>
    <w:rsid w:val="00932E16"/>
    <w:rsid w:val="00941055"/>
    <w:rsid w:val="00956D92"/>
    <w:rsid w:val="00961AC9"/>
    <w:rsid w:val="00977E43"/>
    <w:rsid w:val="009852C6"/>
    <w:rsid w:val="009F49B9"/>
    <w:rsid w:val="00A11BAA"/>
    <w:rsid w:val="00A70D54"/>
    <w:rsid w:val="00A76433"/>
    <w:rsid w:val="00A96550"/>
    <w:rsid w:val="00AA36FD"/>
    <w:rsid w:val="00AA7C36"/>
    <w:rsid w:val="00AB5CAF"/>
    <w:rsid w:val="00AC10DF"/>
    <w:rsid w:val="00AC1FCB"/>
    <w:rsid w:val="00AD2470"/>
    <w:rsid w:val="00B179F5"/>
    <w:rsid w:val="00B4193E"/>
    <w:rsid w:val="00B54A6D"/>
    <w:rsid w:val="00B63786"/>
    <w:rsid w:val="00B73124"/>
    <w:rsid w:val="00B84C87"/>
    <w:rsid w:val="00B964BF"/>
    <w:rsid w:val="00BA6310"/>
    <w:rsid w:val="00BC43B0"/>
    <w:rsid w:val="00BD33F5"/>
    <w:rsid w:val="00BF49F1"/>
    <w:rsid w:val="00C4146A"/>
    <w:rsid w:val="00C42F08"/>
    <w:rsid w:val="00C660B3"/>
    <w:rsid w:val="00C7475F"/>
    <w:rsid w:val="00C909B1"/>
    <w:rsid w:val="00CA13F7"/>
    <w:rsid w:val="00CA55FB"/>
    <w:rsid w:val="00CB2AF4"/>
    <w:rsid w:val="00CB39EB"/>
    <w:rsid w:val="00CC2336"/>
    <w:rsid w:val="00CC5D42"/>
    <w:rsid w:val="00CF042F"/>
    <w:rsid w:val="00D01B42"/>
    <w:rsid w:val="00D16782"/>
    <w:rsid w:val="00D36387"/>
    <w:rsid w:val="00D40B98"/>
    <w:rsid w:val="00D41A1D"/>
    <w:rsid w:val="00D45271"/>
    <w:rsid w:val="00D67175"/>
    <w:rsid w:val="00D67D2E"/>
    <w:rsid w:val="00DB3CCB"/>
    <w:rsid w:val="00DF47F3"/>
    <w:rsid w:val="00DF7960"/>
    <w:rsid w:val="00E126FF"/>
    <w:rsid w:val="00E1733F"/>
    <w:rsid w:val="00E202DD"/>
    <w:rsid w:val="00E40A2A"/>
    <w:rsid w:val="00E4494B"/>
    <w:rsid w:val="00E84467"/>
    <w:rsid w:val="00EB1737"/>
    <w:rsid w:val="00ED18F4"/>
    <w:rsid w:val="00ED3C3C"/>
    <w:rsid w:val="00EE7DFF"/>
    <w:rsid w:val="00EF2322"/>
    <w:rsid w:val="00F0294E"/>
    <w:rsid w:val="00F10A55"/>
    <w:rsid w:val="00F46276"/>
    <w:rsid w:val="00F63424"/>
    <w:rsid w:val="00F97771"/>
    <w:rsid w:val="00FA063A"/>
    <w:rsid w:val="00FA3E3E"/>
    <w:rsid w:val="00FC5222"/>
    <w:rsid w:val="00FD11C0"/>
    <w:rsid w:val="00FD4CD2"/>
    <w:rsid w:val="00FE1DB3"/>
    <w:rsid w:val="00FE28E6"/>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
    <w:name w:val="ref"/>
    <w:basedOn w:val="DefaultParagraphFont"/>
    <w:rsid w:val="009852C6"/>
  </w:style>
  <w:style w:type="character" w:customStyle="1" w:styleId="nowrap">
    <w:name w:val="nowrap"/>
    <w:basedOn w:val="DefaultParagraphFont"/>
    <w:rsid w:val="009852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
    <w:name w:val="ref"/>
    <w:basedOn w:val="DefaultParagraphFont"/>
    <w:rsid w:val="009852C6"/>
  </w:style>
  <w:style w:type="character" w:customStyle="1" w:styleId="nowrap">
    <w:name w:val="nowrap"/>
    <w:basedOn w:val="DefaultParagraphFont"/>
    <w:rsid w:val="0098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6624">
      <w:bodyDiv w:val="1"/>
      <w:marLeft w:val="0"/>
      <w:marRight w:val="0"/>
      <w:marTop w:val="0"/>
      <w:marBottom w:val="0"/>
      <w:divBdr>
        <w:top w:val="none" w:sz="0" w:space="0" w:color="auto"/>
        <w:left w:val="none" w:sz="0" w:space="0" w:color="auto"/>
        <w:bottom w:val="none" w:sz="0" w:space="0" w:color="auto"/>
        <w:right w:val="none" w:sz="0" w:space="0" w:color="auto"/>
      </w:divBdr>
    </w:div>
    <w:div w:id="10156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udyladder.com.au/resources/teacher/mathematics?section=40" TargetMode="External"/><Relationship Id="rId8" Type="http://schemas.openxmlformats.org/officeDocument/2006/relationships/hyperlink" Target="http://www.interactivestuff.org/sums4fun/3dboxe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317A-A758-E94A-9C7A-616C2053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2014-07-29T03:15:00Z</cp:lastPrinted>
  <dcterms:created xsi:type="dcterms:W3CDTF">2015-01-19T02:02:00Z</dcterms:created>
  <dcterms:modified xsi:type="dcterms:W3CDTF">2015-01-19T02:02:00Z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